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4E2C" w:rsidRDefault="008A5B8F">
      <w:pPr>
        <w:spacing w:after="80"/>
      </w:pPr>
      <w:r>
        <w:rPr>
          <w:color w:val="718096"/>
          <w:spacing w:val="80"/>
          <w:sz w:val="17"/>
          <w:szCs w:val="17"/>
        </w:rPr>
        <w:t>OFFENER BRIEF  —  ÖFFENTLICHES DOKUMENT</w:t>
      </w:r>
    </w:p>
    <w:p w:rsidR="00514E2C" w:rsidRDefault="008A5B8F">
      <w:pPr>
        <w:spacing w:after="60"/>
      </w:pPr>
      <w:r>
        <w:rPr>
          <w:b/>
          <w:bCs/>
          <w:color w:val="1B2A3B"/>
          <w:sz w:val="28"/>
          <w:szCs w:val="28"/>
        </w:rPr>
        <w:t>An das Bundesamt für Sicherheit in der Informationstechnik,</w:t>
      </w:r>
    </w:p>
    <w:p w:rsidR="00514E2C" w:rsidRDefault="008A5B8F">
      <w:pPr>
        <w:spacing w:after="60"/>
      </w:pPr>
      <w:r>
        <w:rPr>
          <w:b/>
          <w:bCs/>
          <w:color w:val="1B2A3B"/>
          <w:sz w:val="28"/>
          <w:szCs w:val="28"/>
        </w:rPr>
        <w:t>das Bundesministerium für Digitales und Verkehr,</w:t>
      </w:r>
    </w:p>
    <w:p w:rsidR="00514E2C" w:rsidRDefault="008A5B8F">
      <w:r>
        <w:rPr>
          <w:b/>
          <w:bCs/>
          <w:color w:val="1B2A3B"/>
          <w:sz w:val="28"/>
          <w:szCs w:val="28"/>
        </w:rPr>
        <w:t>und die Europäische Kommission</w:t>
      </w:r>
    </w:p>
    <w:p w:rsidR="00514E2C" w:rsidRDefault="00514E2C">
      <w:pPr>
        <w:pBdr>
          <w:bottom w:val="single" w:sz="6" w:space="0" w:color="1B2A3B"/>
        </w:pBdr>
        <w:spacing w:after="200"/>
      </w:pPr>
    </w:p>
    <w:p w:rsidR="00514E2C" w:rsidRDefault="008A5B8F">
      <w:pPr>
        <w:spacing w:before="40" w:after="40"/>
      </w:pPr>
      <w:r>
        <w:rPr>
          <w:b/>
          <w:bCs/>
          <w:color w:val="1B2A3B"/>
          <w:sz w:val="20"/>
          <w:szCs w:val="20"/>
        </w:rPr>
        <w:t xml:space="preserve">An: </w:t>
      </w:r>
      <w:r>
        <w:rPr>
          <w:color w:val="4A5568"/>
          <w:sz w:val="20"/>
          <w:szCs w:val="20"/>
        </w:rPr>
        <w:t>Bundesamt für Sicherheit in der Informationstechnik (BSI)</w:t>
      </w:r>
    </w:p>
    <w:p w:rsidR="00514E2C" w:rsidRDefault="008A5B8F">
      <w:pPr>
        <w:spacing w:before="40" w:after="40"/>
      </w:pPr>
      <w:r>
        <w:rPr>
          <w:b/>
          <w:bCs/>
          <w:color w:val="1B2A3B"/>
          <w:sz w:val="20"/>
          <w:szCs w:val="20"/>
        </w:rPr>
        <w:t xml:space="preserve">An: </w:t>
      </w:r>
      <w:r>
        <w:rPr>
          <w:color w:val="4A5568"/>
          <w:sz w:val="20"/>
          <w:szCs w:val="20"/>
        </w:rPr>
        <w:t>Bundesministerium</w:t>
      </w:r>
      <w:r w:rsidR="002D3493">
        <w:rPr>
          <w:color w:val="4A5568"/>
          <w:sz w:val="20"/>
          <w:szCs w:val="20"/>
        </w:rPr>
        <w:t xml:space="preserve"> für Digitales und Staatsmodernisierung (BMDS</w:t>
      </w:r>
      <w:r>
        <w:rPr>
          <w:color w:val="4A5568"/>
          <w:sz w:val="20"/>
          <w:szCs w:val="20"/>
        </w:rPr>
        <w:t>)</w:t>
      </w:r>
    </w:p>
    <w:p w:rsidR="00514E2C" w:rsidRDefault="008A5B8F">
      <w:pPr>
        <w:spacing w:before="40" w:after="40"/>
      </w:pPr>
      <w:r>
        <w:rPr>
          <w:b/>
          <w:bCs/>
          <w:color w:val="1B2A3B"/>
          <w:sz w:val="20"/>
          <w:szCs w:val="20"/>
        </w:rPr>
        <w:t xml:space="preserve">An: </w:t>
      </w:r>
      <w:r>
        <w:rPr>
          <w:color w:val="4A5568"/>
          <w:sz w:val="20"/>
          <w:szCs w:val="20"/>
        </w:rPr>
        <w:t>Europäische Kommission — DG CONNECT und DG FISMA</w:t>
      </w:r>
    </w:p>
    <w:p w:rsidR="00514E2C" w:rsidRDefault="008A5B8F">
      <w:pPr>
        <w:spacing w:before="40" w:after="40"/>
      </w:pPr>
      <w:r>
        <w:rPr>
          <w:b/>
          <w:bCs/>
          <w:color w:val="1B2A3B"/>
          <w:sz w:val="20"/>
          <w:szCs w:val="20"/>
        </w:rPr>
        <w:t xml:space="preserve">Nachrichtlich: </w:t>
      </w:r>
      <w:r>
        <w:rPr>
          <w:color w:val="4A5568"/>
          <w:sz w:val="20"/>
          <w:szCs w:val="20"/>
        </w:rPr>
        <w:t>ENISA, BaFin, Deutsche Bundesbank, EZB, Bundesnetzagentur</w:t>
      </w:r>
    </w:p>
    <w:p w:rsidR="00514E2C" w:rsidRDefault="00514E2C">
      <w:pPr>
        <w:pBdr>
          <w:bottom w:val="single" w:sz="2" w:space="0" w:color="C9D4DF"/>
        </w:pBdr>
        <w:spacing w:before="160" w:after="160"/>
      </w:pPr>
    </w:p>
    <w:p w:rsidR="00514E2C" w:rsidRDefault="008A5B8F">
      <w:pPr>
        <w:tabs>
          <w:tab w:val="left" w:pos="2520"/>
        </w:tabs>
        <w:spacing w:before="30" w:after="30"/>
      </w:pPr>
      <w:r>
        <w:rPr>
          <w:color w:val="718096"/>
          <w:sz w:val="18"/>
          <w:szCs w:val="18"/>
        </w:rPr>
        <w:t>Veröffentlicht:</w:t>
      </w:r>
      <w:r>
        <w:tab/>
      </w:r>
      <w:r w:rsidR="007E2533">
        <w:rPr>
          <w:color w:val="4A5568"/>
          <w:sz w:val="18"/>
          <w:szCs w:val="18"/>
        </w:rPr>
        <w:t>LinkedIn -</w:t>
      </w:r>
      <w:r>
        <w:rPr>
          <w:color w:val="4A5568"/>
          <w:sz w:val="18"/>
          <w:szCs w:val="18"/>
        </w:rPr>
        <w:t xml:space="preserve"> Juni 2026</w:t>
      </w:r>
    </w:p>
    <w:p w:rsidR="00514E2C" w:rsidRDefault="008A5B8F">
      <w:pPr>
        <w:tabs>
          <w:tab w:val="left" w:pos="2520"/>
        </w:tabs>
        <w:spacing w:before="30" w:after="30"/>
      </w:pPr>
      <w:r>
        <w:rPr>
          <w:color w:val="718096"/>
          <w:sz w:val="18"/>
          <w:szCs w:val="18"/>
        </w:rPr>
        <w:t>Absender:</w:t>
      </w:r>
      <w:r>
        <w:tab/>
      </w:r>
      <w:proofErr w:type="spellStart"/>
      <w:r>
        <w:rPr>
          <w:color w:val="4A5568"/>
          <w:sz w:val="18"/>
          <w:szCs w:val="18"/>
        </w:rPr>
        <w:t>immo.quick</w:t>
      </w:r>
      <w:proofErr w:type="spellEnd"/>
      <w:r>
        <w:rPr>
          <w:color w:val="4A5568"/>
          <w:sz w:val="18"/>
          <w:szCs w:val="18"/>
        </w:rPr>
        <w:t xml:space="preserve"> Global, Hattingen, D</w:t>
      </w:r>
      <w:r>
        <w:rPr>
          <w:color w:val="4A5568"/>
          <w:sz w:val="18"/>
          <w:szCs w:val="18"/>
        </w:rPr>
        <w:t>eutschland</w:t>
      </w:r>
    </w:p>
    <w:p w:rsidR="00514E2C" w:rsidRDefault="008A5B8F">
      <w:pPr>
        <w:tabs>
          <w:tab w:val="left" w:pos="2520"/>
        </w:tabs>
        <w:spacing w:before="30" w:after="30"/>
      </w:pPr>
      <w:r>
        <w:rPr>
          <w:color w:val="718096"/>
          <w:sz w:val="18"/>
          <w:szCs w:val="18"/>
        </w:rPr>
        <w:t>Version:</w:t>
      </w:r>
      <w:r>
        <w:tab/>
      </w:r>
      <w:proofErr w:type="spellStart"/>
      <w:r w:rsidR="007E2533">
        <w:rPr>
          <w:color w:val="4A5568"/>
          <w:sz w:val="18"/>
          <w:szCs w:val="18"/>
        </w:rPr>
        <w:t>Serverless</w:t>
      </w:r>
      <w:proofErr w:type="spellEnd"/>
      <w:r w:rsidR="007E2533">
        <w:rPr>
          <w:color w:val="4A5568"/>
          <w:sz w:val="18"/>
          <w:szCs w:val="18"/>
        </w:rPr>
        <w:t xml:space="preserve"> Edition </w:t>
      </w:r>
    </w:p>
    <w:p w:rsidR="00514E2C" w:rsidRDefault="008A5B8F">
      <w:pPr>
        <w:tabs>
          <w:tab w:val="left" w:pos="2520"/>
        </w:tabs>
        <w:spacing w:before="30" w:after="30"/>
      </w:pPr>
      <w:r>
        <w:rPr>
          <w:color w:val="718096"/>
          <w:sz w:val="18"/>
          <w:szCs w:val="18"/>
        </w:rPr>
        <w:t>DOI:</w:t>
      </w:r>
      <w:r>
        <w:tab/>
      </w:r>
      <w:r>
        <w:rPr>
          <w:color w:val="4A5568"/>
          <w:sz w:val="18"/>
          <w:szCs w:val="18"/>
        </w:rPr>
        <w:t>10.5281/zenodo.20562673</w:t>
      </w:r>
    </w:p>
    <w:p w:rsidR="00514E2C" w:rsidRDefault="008A5B8F">
      <w:pPr>
        <w:tabs>
          <w:tab w:val="left" w:pos="2520"/>
        </w:tabs>
        <w:spacing w:before="30" w:after="30"/>
      </w:pPr>
      <w:r>
        <w:rPr>
          <w:color w:val="718096"/>
          <w:sz w:val="18"/>
          <w:szCs w:val="18"/>
        </w:rPr>
        <w:t>Kontakt:</w:t>
      </w:r>
      <w:r>
        <w:tab/>
      </w:r>
      <w:r>
        <w:rPr>
          <w:color w:val="4A5568"/>
          <w:sz w:val="18"/>
          <w:szCs w:val="18"/>
        </w:rPr>
        <w:t>access@immoquick.eu  |  www.immoquick.eu</w:t>
      </w:r>
    </w:p>
    <w:p w:rsidR="00514E2C" w:rsidRDefault="00514E2C"/>
    <w:p w:rsidR="00514E2C" w:rsidRDefault="00514E2C"/>
    <w:p w:rsidR="00514E2C" w:rsidRDefault="008A5B8F">
      <w:pPr>
        <w:spacing w:before="80" w:after="140" w:line="340" w:lineRule="auto"/>
        <w:jc w:val="both"/>
      </w:pPr>
      <w:r>
        <w:rPr>
          <w:color w:val="1A1A1A"/>
          <w:sz w:val="21"/>
          <w:szCs w:val="21"/>
        </w:rPr>
        <w:t>Wir schreiben diesen Brief öffentlich, weil die Sache zu wichtig ist für geschlossene Gesprächsräume.</w:t>
      </w:r>
    </w:p>
    <w:p w:rsidR="00514E2C" w:rsidRDefault="008A5B8F">
      <w:pPr>
        <w:spacing w:before="80" w:after="140" w:line="340" w:lineRule="auto"/>
        <w:jc w:val="both"/>
      </w:pPr>
      <w:r>
        <w:rPr>
          <w:color w:val="1A1A1A"/>
          <w:sz w:val="21"/>
          <w:szCs w:val="21"/>
        </w:rPr>
        <w:t>Europa befindet sich an ein</w:t>
      </w:r>
      <w:r>
        <w:rPr>
          <w:color w:val="1A1A1A"/>
          <w:sz w:val="21"/>
          <w:szCs w:val="21"/>
        </w:rPr>
        <w:t xml:space="preserve">em Wendepunkt, der sich nicht durch weiteres Abwarten auflöst. Die Gesetze sind in Kraft. Die Fristen sind real. Die ersten Bußgelder werden verhängt. Aber die Infrastruktur, die Finanzinstitutionen, Behörden, </w:t>
      </w:r>
      <w:proofErr w:type="spellStart"/>
      <w:r>
        <w:rPr>
          <w:color w:val="1A1A1A"/>
          <w:sz w:val="21"/>
          <w:szCs w:val="21"/>
        </w:rPr>
        <w:t>PropTech</w:t>
      </w:r>
      <w:proofErr w:type="spellEnd"/>
      <w:r>
        <w:rPr>
          <w:color w:val="1A1A1A"/>
          <w:sz w:val="21"/>
          <w:szCs w:val="21"/>
        </w:rPr>
        <w:t>-Plattformen und den europäischen Mitt</w:t>
      </w:r>
      <w:r>
        <w:rPr>
          <w:color w:val="1A1A1A"/>
          <w:sz w:val="21"/>
          <w:szCs w:val="21"/>
        </w:rPr>
        <w:t>elstand in die Lage versetzen würde, diese Vorschriften technisch nachweisbar, rechtlich belastbar und souveränitätswahrend einzuhalten, existiert noch nicht als anerkannter Standard.</w:t>
      </w:r>
    </w:p>
    <w:p w:rsidR="00514E2C" w:rsidRDefault="008A5B8F">
      <w:pPr>
        <w:spacing w:before="80" w:after="140" w:line="340" w:lineRule="auto"/>
        <w:jc w:val="both"/>
      </w:pPr>
      <w:r>
        <w:rPr>
          <w:color w:val="1A1A1A"/>
          <w:sz w:val="21"/>
          <w:szCs w:val="21"/>
        </w:rPr>
        <w:t>Wir haben sie gebaut. Und wir fordern die hier angesprochenen Institutio</w:t>
      </w:r>
      <w:r>
        <w:rPr>
          <w:color w:val="1A1A1A"/>
          <w:sz w:val="21"/>
          <w:szCs w:val="21"/>
        </w:rPr>
        <w:t>nen auf, das zu prüfen, zu zertifizieren und letztlich als verbindlichen Maßstab zu setzen.</w:t>
      </w:r>
    </w:p>
    <w:p w:rsidR="00514E2C" w:rsidRDefault="008A5B8F">
      <w:pPr>
        <w:spacing w:before="80" w:after="140" w:line="340" w:lineRule="auto"/>
        <w:jc w:val="both"/>
      </w:pPr>
      <w:r>
        <w:rPr>
          <w:color w:val="1A1A1A"/>
          <w:sz w:val="21"/>
          <w:szCs w:val="21"/>
        </w:rPr>
        <w:t xml:space="preserve">Dieser Brief ist kein </w:t>
      </w:r>
      <w:proofErr w:type="spellStart"/>
      <w:r>
        <w:rPr>
          <w:color w:val="1A1A1A"/>
          <w:sz w:val="21"/>
          <w:szCs w:val="21"/>
        </w:rPr>
        <w:t>Produktpitch</w:t>
      </w:r>
      <w:proofErr w:type="spellEnd"/>
      <w:r>
        <w:rPr>
          <w:color w:val="1A1A1A"/>
          <w:sz w:val="21"/>
          <w:szCs w:val="21"/>
        </w:rPr>
        <w:t xml:space="preserve">. Er ist ein technisches und rechtliches Argument für eine neue Infrastrukturkategorie, die wir </w:t>
      </w:r>
      <w:proofErr w:type="spellStart"/>
      <w:r>
        <w:rPr>
          <w:color w:val="1A1A1A"/>
          <w:sz w:val="21"/>
          <w:szCs w:val="21"/>
        </w:rPr>
        <w:t>Institutional</w:t>
      </w:r>
      <w:proofErr w:type="spellEnd"/>
      <w:r>
        <w:rPr>
          <w:color w:val="1A1A1A"/>
          <w:sz w:val="21"/>
          <w:szCs w:val="21"/>
        </w:rPr>
        <w:t xml:space="preserve"> Trust Infrastructure nennen. Und er ist ein dringlicher Appell, weil das Fenster für eine gestaltende europäisch</w:t>
      </w:r>
      <w:r>
        <w:rPr>
          <w:color w:val="1A1A1A"/>
          <w:sz w:val="21"/>
          <w:szCs w:val="21"/>
        </w:rPr>
        <w:t xml:space="preserve">e Antwort kleiner wird, während die Abhängigkeit von US-amerikanischen </w:t>
      </w:r>
      <w:proofErr w:type="spellStart"/>
      <w:r>
        <w:rPr>
          <w:color w:val="1A1A1A"/>
          <w:sz w:val="21"/>
          <w:szCs w:val="21"/>
        </w:rPr>
        <w:t>Hyperscalern</w:t>
      </w:r>
      <w:proofErr w:type="spellEnd"/>
      <w:r>
        <w:rPr>
          <w:color w:val="1A1A1A"/>
          <w:sz w:val="21"/>
          <w:szCs w:val="21"/>
        </w:rPr>
        <w:t xml:space="preserve"> und die erste Welle ernsthafter DORA-Durchsetzungsmaßnahmen gleichzeitig zunehmen.</w:t>
      </w:r>
    </w:p>
    <w:p w:rsidR="00514E2C" w:rsidRDefault="008A5B8F">
      <w:r>
        <w:br w:type="page"/>
      </w:r>
    </w:p>
    <w:p w:rsidR="00514E2C" w:rsidRDefault="008A5B8F">
      <w:pPr>
        <w:spacing w:before="480" w:after="120"/>
      </w:pPr>
      <w:r>
        <w:rPr>
          <w:b/>
          <w:bCs/>
          <w:color w:val="1B2A3B"/>
        </w:rPr>
        <w:lastRenderedPageBreak/>
        <w:t>Teil I: Das Problem, das niemand klar genug benennt</w:t>
      </w:r>
    </w:p>
    <w:p w:rsidR="00514E2C" w:rsidRDefault="008A5B8F">
      <w:pPr>
        <w:spacing w:before="80" w:after="140" w:line="340" w:lineRule="auto"/>
        <w:jc w:val="both"/>
      </w:pPr>
      <w:r>
        <w:rPr>
          <w:color w:val="1A1A1A"/>
          <w:sz w:val="21"/>
          <w:szCs w:val="21"/>
        </w:rPr>
        <w:t xml:space="preserve">Der Digital Operational </w:t>
      </w:r>
      <w:proofErr w:type="spellStart"/>
      <w:r>
        <w:rPr>
          <w:color w:val="1A1A1A"/>
          <w:sz w:val="21"/>
          <w:szCs w:val="21"/>
        </w:rPr>
        <w:t>Resilience</w:t>
      </w:r>
      <w:proofErr w:type="spellEnd"/>
      <w:r>
        <w:rPr>
          <w:color w:val="1A1A1A"/>
          <w:sz w:val="21"/>
          <w:szCs w:val="21"/>
        </w:rPr>
        <w:t xml:space="preserve"> Act. NIS2. Das EU AI Act. Die DSGVO. AMLD6. PSD3. DORA Artikel 17. Das deutsche Geldwäschegesetz. Die FINMA-Rundschreiben zur operativen Resilienz. Die SEC </w:t>
      </w:r>
      <w:proofErr w:type="spellStart"/>
      <w:r>
        <w:rPr>
          <w:color w:val="1A1A1A"/>
          <w:sz w:val="21"/>
          <w:szCs w:val="21"/>
        </w:rPr>
        <w:t>Cybersecurity</w:t>
      </w:r>
      <w:proofErr w:type="spellEnd"/>
      <w:r>
        <w:rPr>
          <w:color w:val="1A1A1A"/>
          <w:sz w:val="21"/>
          <w:szCs w:val="21"/>
        </w:rPr>
        <w:t xml:space="preserve"> Rules. CIRCIA. CMMC. FIPS 140-3. Das brandneue deut</w:t>
      </w:r>
      <w:r>
        <w:rPr>
          <w:color w:val="1A1A1A"/>
          <w:sz w:val="21"/>
          <w:szCs w:val="21"/>
        </w:rPr>
        <w:t>sche KI-Durchführungsgesetz, das dem BSI und der Bundesnetzagentur explizit Marktüberwachungsaufgaben für Hochrisiko-KI-Systeme zuweist.</w:t>
      </w:r>
    </w:p>
    <w:p w:rsidR="00514E2C" w:rsidRDefault="008A5B8F">
      <w:pPr>
        <w:spacing w:before="80" w:after="140" w:line="340" w:lineRule="auto"/>
        <w:jc w:val="both"/>
      </w:pPr>
      <w:r>
        <w:rPr>
          <w:color w:val="1A1A1A"/>
          <w:sz w:val="21"/>
          <w:szCs w:val="21"/>
        </w:rPr>
        <w:t>Jedes einzelne dieser Regelwerke verlangt im Kern dasselbe: technisch verifizierbaren Nachweis, dass Compliance genau i</w:t>
      </w:r>
      <w:r>
        <w:rPr>
          <w:color w:val="1A1A1A"/>
          <w:sz w:val="21"/>
          <w:szCs w:val="21"/>
        </w:rPr>
        <w:t>n dem Moment vorlag, in dem eine regulierte Handlung ausgeführt wurde.</w:t>
      </w:r>
    </w:p>
    <w:p w:rsidR="00514E2C" w:rsidRDefault="008A5B8F">
      <w:pPr>
        <w:spacing w:before="80" w:after="140" w:line="340" w:lineRule="auto"/>
        <w:jc w:val="both"/>
      </w:pPr>
      <w:r>
        <w:rPr>
          <w:color w:val="1A1A1A"/>
          <w:sz w:val="21"/>
          <w:szCs w:val="21"/>
        </w:rPr>
        <w:t xml:space="preserve">Nicht einen Bericht, der drei Wochen später geschrieben wurde. Nicht ein </w:t>
      </w:r>
      <w:proofErr w:type="spellStart"/>
      <w:r>
        <w:rPr>
          <w:color w:val="1A1A1A"/>
          <w:sz w:val="21"/>
          <w:szCs w:val="21"/>
        </w:rPr>
        <w:t>Policy</w:t>
      </w:r>
      <w:proofErr w:type="spellEnd"/>
      <w:r>
        <w:rPr>
          <w:color w:val="1A1A1A"/>
          <w:sz w:val="21"/>
          <w:szCs w:val="21"/>
        </w:rPr>
        <w:t xml:space="preserve">-Dokument mit Unterschrift des Chief Compliance </w:t>
      </w:r>
      <w:proofErr w:type="spellStart"/>
      <w:r>
        <w:rPr>
          <w:color w:val="1A1A1A"/>
          <w:sz w:val="21"/>
          <w:szCs w:val="21"/>
        </w:rPr>
        <w:t>Officers</w:t>
      </w:r>
      <w:proofErr w:type="spellEnd"/>
      <w:r>
        <w:rPr>
          <w:color w:val="1A1A1A"/>
          <w:sz w:val="21"/>
          <w:szCs w:val="21"/>
        </w:rPr>
        <w:t>. Nicht einen Screenshot aus einem Dashboard. Tech</w:t>
      </w:r>
      <w:r>
        <w:rPr>
          <w:color w:val="1A1A1A"/>
          <w:sz w:val="21"/>
          <w:szCs w:val="21"/>
        </w:rPr>
        <w:t>nisch verifizierbaren, kryptographisch unveränderlichen, zeitgestempelten Beweis.</w:t>
      </w:r>
    </w:p>
    <w:p w:rsidR="00514E2C" w:rsidRDefault="008A5B8F">
      <w:pPr>
        <w:spacing w:before="80" w:after="140" w:line="340" w:lineRule="auto"/>
        <w:jc w:val="both"/>
      </w:pPr>
      <w:r>
        <w:rPr>
          <w:color w:val="1A1A1A"/>
          <w:sz w:val="21"/>
          <w:szCs w:val="21"/>
        </w:rPr>
        <w:t>Die Lücke zwischen dem, was die Regulierung fordert, und dem, was die meisten Institutionen tatsächlich vorlegen können, ist keine Lücke des Willens. Es ist eine Lücke der In</w:t>
      </w:r>
      <w:r>
        <w:rPr>
          <w:color w:val="1A1A1A"/>
          <w:sz w:val="21"/>
          <w:szCs w:val="21"/>
        </w:rPr>
        <w:t>frastruktur. Und sie wird überbrückt mit Word-Dokumenten, PDF-Berichten und Tabellenkalkulationen, die einer ernsthaften forensischen Prüfung nicht standhalten würden.</w:t>
      </w:r>
    </w:p>
    <w:p w:rsidR="00514E2C" w:rsidRDefault="008A5B8F">
      <w:pPr>
        <w:spacing w:before="80" w:after="140" w:line="340" w:lineRule="auto"/>
        <w:jc w:val="both"/>
      </w:pPr>
      <w:r>
        <w:rPr>
          <w:color w:val="1A1A1A"/>
          <w:sz w:val="21"/>
          <w:szCs w:val="21"/>
        </w:rPr>
        <w:t>Wenn ein europäisches Kreditinstitut heute unter DORA-Retroaktivitätsanforderungen von d</w:t>
      </w:r>
      <w:r>
        <w:rPr>
          <w:color w:val="1A1A1A"/>
          <w:sz w:val="21"/>
          <w:szCs w:val="21"/>
        </w:rPr>
        <w:t xml:space="preserve">er BaFin oder der EZB geprüft wird, ist die Wahrscheinlichkeit, dass es technisch verifizierbaren, zeitgestempelten, manipulationssicheren Nachweis transaktionaler Compliance für die vergangenen 36 Monate vorlegen kann, konservativ geschätzt unter zwanzig </w:t>
      </w:r>
      <w:r>
        <w:rPr>
          <w:color w:val="1A1A1A"/>
          <w:sz w:val="21"/>
          <w:szCs w:val="21"/>
        </w:rPr>
        <w:t>Prozent.</w:t>
      </w:r>
    </w:p>
    <w:p w:rsidR="00514E2C" w:rsidRDefault="008A5B8F">
      <w:pPr>
        <w:spacing w:before="80" w:after="140" w:line="340" w:lineRule="auto"/>
        <w:jc w:val="both"/>
      </w:pPr>
      <w:r>
        <w:rPr>
          <w:b/>
          <w:bCs/>
          <w:color w:val="1A1A1A"/>
          <w:sz w:val="21"/>
          <w:szCs w:val="21"/>
        </w:rPr>
        <w:t>Die Regulierung ist in Kraft. Die Durchsetzung hat begonnen. Die Infrastruktur fehlt.</w:t>
      </w:r>
    </w:p>
    <w:p w:rsidR="00514E2C" w:rsidRDefault="008A5B8F">
      <w:pPr>
        <w:spacing w:before="480" w:after="120"/>
      </w:pPr>
      <w:r>
        <w:rPr>
          <w:b/>
          <w:bCs/>
          <w:color w:val="1B2A3B"/>
        </w:rPr>
        <w:t>Teil II: Der Trugschluss der digitalen Souveränität</w:t>
      </w:r>
    </w:p>
    <w:p w:rsidR="00514E2C" w:rsidRDefault="008A5B8F">
      <w:pPr>
        <w:spacing w:before="80" w:after="140" w:line="340" w:lineRule="auto"/>
        <w:jc w:val="both"/>
      </w:pPr>
      <w:r>
        <w:rPr>
          <w:b/>
          <w:bCs/>
          <w:color w:val="1A1A1A"/>
          <w:sz w:val="21"/>
          <w:szCs w:val="21"/>
        </w:rPr>
        <w:t>Digitale Souveränität ist kein Versprechen. Sie ist entweder mathematisch erzwungen oder sie existiert nicht.</w:t>
      </w:r>
    </w:p>
    <w:p w:rsidR="00514E2C" w:rsidRDefault="008A5B8F">
      <w:pPr>
        <w:spacing w:before="80" w:after="140" w:line="340" w:lineRule="auto"/>
        <w:jc w:val="both"/>
      </w:pPr>
      <w:r>
        <w:rPr>
          <w:color w:val="1A1A1A"/>
          <w:sz w:val="21"/>
          <w:szCs w:val="21"/>
        </w:rPr>
        <w:t>Die großen Cloud-Anbieter, auf deren Infrastruktur europäische Finanz- und Compliance-Daten heute in erheblichem Umfang verarbeitet werden, sind amerikanische Unternehmen, die amerikanischem Recht, amerikanischer Geheimdienstaufsicht und amerikanischen au</w:t>
      </w:r>
      <w:r>
        <w:rPr>
          <w:color w:val="1A1A1A"/>
          <w:sz w:val="21"/>
          <w:szCs w:val="21"/>
        </w:rPr>
        <w:t>ßenpolitischen Prioritäten unterliegen.</w:t>
      </w:r>
    </w:p>
    <w:p w:rsidR="00514E2C" w:rsidRDefault="008A5B8F">
      <w:pPr>
        <w:spacing w:before="80" w:after="140" w:line="340" w:lineRule="auto"/>
        <w:jc w:val="both"/>
      </w:pPr>
      <w:r>
        <w:rPr>
          <w:color w:val="1A1A1A"/>
          <w:sz w:val="21"/>
          <w:szCs w:val="21"/>
        </w:rPr>
        <w:t xml:space="preserve">Der US CLOUD Act von 2018 berechtigt US-amerikanische Strafverfolgungsbehörden, US-Technologieunternehmen zur Herausgabe von Daten zu zwingen, unabhängig davon, wo diese Daten physisch gespeichert sind. Das gilt für </w:t>
      </w:r>
      <w:r>
        <w:rPr>
          <w:color w:val="1A1A1A"/>
          <w:sz w:val="21"/>
          <w:szCs w:val="21"/>
        </w:rPr>
        <w:t xml:space="preserve">AWS, </w:t>
      </w:r>
      <w:proofErr w:type="spellStart"/>
      <w:r>
        <w:rPr>
          <w:color w:val="1A1A1A"/>
          <w:sz w:val="21"/>
          <w:szCs w:val="21"/>
        </w:rPr>
        <w:t>Azure</w:t>
      </w:r>
      <w:proofErr w:type="spellEnd"/>
      <w:r>
        <w:rPr>
          <w:color w:val="1A1A1A"/>
          <w:sz w:val="21"/>
          <w:szCs w:val="21"/>
        </w:rPr>
        <w:t>, Google Cloud und jeden anderen Anbieter mit US-amerikanischer Rechtsperson. Vertragliche Zusagen über Datensouveränität und EU-spezifische Datenhaltungsversprechen sind genau das: vertragliche Zusagen. Der CLOUD Act ist ein Bundesgesetz. Wenn b</w:t>
      </w:r>
      <w:r>
        <w:rPr>
          <w:color w:val="1A1A1A"/>
          <w:sz w:val="21"/>
          <w:szCs w:val="21"/>
        </w:rPr>
        <w:t>eides kollidiert, gewinnt das Gesetz.</w:t>
      </w:r>
    </w:p>
    <w:p w:rsidR="00514E2C" w:rsidRDefault="008A5B8F">
      <w:pPr>
        <w:spacing w:before="80" w:after="140" w:line="340" w:lineRule="auto"/>
        <w:jc w:val="both"/>
      </w:pPr>
      <w:r>
        <w:rPr>
          <w:color w:val="1A1A1A"/>
          <w:sz w:val="21"/>
          <w:szCs w:val="21"/>
        </w:rPr>
        <w:lastRenderedPageBreak/>
        <w:t xml:space="preserve">Hier beginnt der Trugschluss. Viele europäische Institutionen glauben, durch die Nutzung von EU-Rechenzentrumsstandorten — sei es bei AWS Frankfurt, </w:t>
      </w:r>
      <w:proofErr w:type="spellStart"/>
      <w:r>
        <w:rPr>
          <w:color w:val="1A1A1A"/>
          <w:sz w:val="21"/>
          <w:szCs w:val="21"/>
        </w:rPr>
        <w:t>Azure</w:t>
      </w:r>
      <w:proofErr w:type="spellEnd"/>
      <w:r>
        <w:rPr>
          <w:color w:val="1A1A1A"/>
          <w:sz w:val="21"/>
          <w:szCs w:val="21"/>
        </w:rPr>
        <w:t xml:space="preserve"> Niederlande oder anderen </w:t>
      </w:r>
      <w:proofErr w:type="spellStart"/>
      <w:r>
        <w:rPr>
          <w:color w:val="1A1A1A"/>
          <w:sz w:val="21"/>
          <w:szCs w:val="21"/>
        </w:rPr>
        <w:t>Hyperscalern</w:t>
      </w:r>
      <w:proofErr w:type="spellEnd"/>
      <w:r>
        <w:rPr>
          <w:color w:val="1A1A1A"/>
          <w:sz w:val="21"/>
          <w:szCs w:val="21"/>
        </w:rPr>
        <w:t xml:space="preserve"> — digitale Souveränität z</w:t>
      </w:r>
      <w:r>
        <w:rPr>
          <w:color w:val="1A1A1A"/>
          <w:sz w:val="21"/>
          <w:szCs w:val="21"/>
        </w:rPr>
        <w:t>u besitzen. Das ist falsch. Die physische Lage des Servers ist irrelevant, wenn der Betreiber einer US-amerikanischen Rechtsperson unterworfen ist. Das US-Justizministerium richtet seine Anfragen nicht an das Rechenzentrum. Es richtet sie an das Unternehme</w:t>
      </w:r>
      <w:r>
        <w:rPr>
          <w:color w:val="1A1A1A"/>
          <w:sz w:val="21"/>
          <w:szCs w:val="21"/>
        </w:rPr>
        <w:t>n.</w:t>
      </w:r>
    </w:p>
    <w:p w:rsidR="00514E2C" w:rsidRDefault="008A5B8F">
      <w:pPr>
        <w:spacing w:before="80" w:after="140" w:line="340" w:lineRule="auto"/>
        <w:jc w:val="both"/>
      </w:pPr>
      <w:r>
        <w:rPr>
          <w:color w:val="1A1A1A"/>
          <w:sz w:val="21"/>
          <w:szCs w:val="21"/>
        </w:rPr>
        <w:t>Das gilt auch für Angebote wie STACKIT, den Cloud-Dienst der Schwarz-Gruppe, der sich dezidiert als europäische Alternative positioniert. STACKIT ist ein seriöser Schritt in die richtige Richtung: europäisches Unternehmen, europäische Rechtsordnung, DSG</w:t>
      </w:r>
      <w:r>
        <w:rPr>
          <w:color w:val="1A1A1A"/>
          <w:sz w:val="21"/>
          <w:szCs w:val="21"/>
        </w:rPr>
        <w:t>VO-konformer Betrieb. Aber selbst hier gilt: Souveränität über die Daten ist nur dann vollständig, wenn die kryptographischen Schlüssel zu diesen Daten ausschließlich beim Kunden liegen und nicht rekonstruierbar beim Anbieter. Der Anbieter kann nur herausg</w:t>
      </w:r>
      <w:r>
        <w:rPr>
          <w:color w:val="1A1A1A"/>
          <w:sz w:val="21"/>
          <w:szCs w:val="21"/>
        </w:rPr>
        <w:t>eben, was er besitzt. Besitzt er den Schlüssel nicht, gibt es nichts herauszugeben.</w:t>
      </w:r>
    </w:p>
    <w:p w:rsidR="00514E2C" w:rsidRDefault="008A5B8F">
      <w:pPr>
        <w:spacing w:before="80" w:after="140" w:line="340" w:lineRule="auto"/>
        <w:jc w:val="both"/>
      </w:pPr>
      <w:r>
        <w:rPr>
          <w:b/>
          <w:bCs/>
          <w:color w:val="1A1A1A"/>
          <w:sz w:val="21"/>
          <w:szCs w:val="21"/>
        </w:rPr>
        <w:t xml:space="preserve">Das ist Zero Key </w:t>
      </w:r>
      <w:proofErr w:type="spellStart"/>
      <w:r>
        <w:rPr>
          <w:b/>
          <w:bCs/>
          <w:color w:val="1A1A1A"/>
          <w:sz w:val="21"/>
          <w:szCs w:val="21"/>
        </w:rPr>
        <w:t>Custody</w:t>
      </w:r>
      <w:proofErr w:type="spellEnd"/>
      <w:r>
        <w:rPr>
          <w:b/>
          <w:bCs/>
          <w:color w:val="1A1A1A"/>
          <w:sz w:val="21"/>
          <w:szCs w:val="21"/>
        </w:rPr>
        <w:t>. Und es ist das einzige Prinzip, das digitale Souveränität technisch erzwingt statt vertraglich verspricht.</w:t>
      </w:r>
    </w:p>
    <w:p w:rsidR="00514E2C" w:rsidRDefault="008A5B8F">
      <w:pPr>
        <w:spacing w:before="80" w:after="140" w:line="340" w:lineRule="auto"/>
        <w:jc w:val="both"/>
      </w:pPr>
      <w:r>
        <w:rPr>
          <w:color w:val="1A1A1A"/>
          <w:sz w:val="21"/>
          <w:szCs w:val="21"/>
        </w:rPr>
        <w:t xml:space="preserve">In der </w:t>
      </w:r>
      <w:proofErr w:type="spellStart"/>
      <w:r>
        <w:rPr>
          <w:color w:val="1A1A1A"/>
          <w:sz w:val="21"/>
          <w:szCs w:val="21"/>
        </w:rPr>
        <w:t>immo.quick</w:t>
      </w:r>
      <w:proofErr w:type="spellEnd"/>
      <w:r>
        <w:rPr>
          <w:color w:val="1A1A1A"/>
          <w:sz w:val="21"/>
          <w:szCs w:val="21"/>
        </w:rPr>
        <w:t>-Architektur verlassen</w:t>
      </w:r>
      <w:r>
        <w:rPr>
          <w:color w:val="1A1A1A"/>
          <w:sz w:val="21"/>
          <w:szCs w:val="21"/>
        </w:rPr>
        <w:t xml:space="preserve"> kryptographische </w:t>
      </w:r>
      <w:proofErr w:type="spellStart"/>
      <w:r>
        <w:rPr>
          <w:color w:val="1A1A1A"/>
          <w:sz w:val="21"/>
          <w:szCs w:val="21"/>
        </w:rPr>
        <w:t>Signing</w:t>
      </w:r>
      <w:proofErr w:type="spellEnd"/>
      <w:r>
        <w:rPr>
          <w:color w:val="1A1A1A"/>
          <w:sz w:val="21"/>
          <w:szCs w:val="21"/>
        </w:rPr>
        <w:t xml:space="preserve">-Keys niemals die Infrastruktur des Kunden. Sie werden nach dem 2-von-3-Shamir-Verfahren auf drei geographisch getrennte Standorte aufgeteilt, alle innerhalb der EU-Jurisdiktion, alle unter der alleinigen Kontrolle des Kunden. Das </w:t>
      </w:r>
      <w:r>
        <w:rPr>
          <w:color w:val="1A1A1A"/>
          <w:sz w:val="21"/>
          <w:szCs w:val="21"/>
        </w:rPr>
        <w:t>US-Justizministerium kann jeden erdenklichen Beschluss an jeden Infrastrukturanbieter senden, der unsere Edge-Infrastruktur berührt. Es gibt nichts herauszugeben. Die Schlüssel existieren schlichtweg nicht auf Infrastruktur, die dem CLOUD Act unterliegt.</w:t>
      </w:r>
    </w:p>
    <w:p w:rsidR="00514E2C" w:rsidRDefault="008A5B8F">
      <w:pPr>
        <w:spacing w:before="80" w:after="140" w:line="340" w:lineRule="auto"/>
        <w:jc w:val="both"/>
      </w:pPr>
      <w:r>
        <w:rPr>
          <w:b/>
          <w:bCs/>
          <w:color w:val="1A1A1A"/>
          <w:sz w:val="21"/>
          <w:szCs w:val="21"/>
        </w:rPr>
        <w:t>D</w:t>
      </w:r>
      <w:r>
        <w:rPr>
          <w:b/>
          <w:bCs/>
          <w:color w:val="1A1A1A"/>
          <w:sz w:val="21"/>
          <w:szCs w:val="21"/>
        </w:rPr>
        <w:t>as ist keine Marketingaussage. Das ist Mathematik.</w:t>
      </w:r>
    </w:p>
    <w:p w:rsidR="00514E2C" w:rsidRDefault="008A5B8F">
      <w:pPr>
        <w:spacing w:before="80" w:after="140" w:line="340" w:lineRule="auto"/>
        <w:jc w:val="both"/>
      </w:pPr>
      <w:r>
        <w:rPr>
          <w:color w:val="1A1A1A"/>
          <w:sz w:val="21"/>
          <w:szCs w:val="21"/>
        </w:rPr>
        <w:t xml:space="preserve">Wir fordern das BSI und die Europäische Kommission auf, Zero Key </w:t>
      </w:r>
      <w:proofErr w:type="spellStart"/>
      <w:r>
        <w:rPr>
          <w:color w:val="1A1A1A"/>
          <w:sz w:val="21"/>
          <w:szCs w:val="21"/>
        </w:rPr>
        <w:t>Custody</w:t>
      </w:r>
      <w:proofErr w:type="spellEnd"/>
      <w:r>
        <w:rPr>
          <w:color w:val="1A1A1A"/>
          <w:sz w:val="21"/>
          <w:szCs w:val="21"/>
        </w:rPr>
        <w:t xml:space="preserve"> als verbindliche Anforderung für jede Compliance-Infrastruktur festzuschreiben, die in der EU regulierte Finanzdaten verarbeitet.</w:t>
      </w:r>
    </w:p>
    <w:p w:rsidR="00514E2C" w:rsidRDefault="008A5B8F">
      <w:pPr>
        <w:spacing w:before="480" w:after="120"/>
      </w:pPr>
      <w:r>
        <w:rPr>
          <w:b/>
          <w:bCs/>
          <w:color w:val="1B2A3B"/>
        </w:rPr>
        <w:t>Te</w:t>
      </w:r>
      <w:r>
        <w:rPr>
          <w:b/>
          <w:bCs/>
          <w:color w:val="1B2A3B"/>
        </w:rPr>
        <w:t>il III: Das neue BSI-Mandat und warum unsere Architektur exakt das liefert, was gefordert wird</w:t>
      </w:r>
    </w:p>
    <w:p w:rsidR="00514E2C" w:rsidRDefault="008A5B8F">
      <w:pPr>
        <w:spacing w:before="80" w:after="140" w:line="340" w:lineRule="auto"/>
        <w:jc w:val="both"/>
      </w:pPr>
      <w:r>
        <w:rPr>
          <w:color w:val="1A1A1A"/>
          <w:sz w:val="21"/>
          <w:szCs w:val="21"/>
        </w:rPr>
        <w:t>Das KI-Durchführungsgesetz, das der Deutsche Bundestag im Juni 2026 verabschiedet hat, weist dem BSI und der Bundesnetzagentur eine explizite, zentrale Rolle bei</w:t>
      </w:r>
      <w:r>
        <w:rPr>
          <w:color w:val="1A1A1A"/>
          <w:sz w:val="21"/>
          <w:szCs w:val="21"/>
        </w:rPr>
        <w:t xml:space="preserve"> der Marktüberwachung von Hochrisiko-KI-Systemen zu. Das BSI übernimmt damit eine Funktion, die weit über bisherige Zertifizierungsaufgaben hinausgeht: Es soll die technische Überwachbarkeit dieser Systeme sicherstellen können.</w:t>
      </w:r>
    </w:p>
    <w:p w:rsidR="00514E2C" w:rsidRDefault="008A5B8F">
      <w:pPr>
        <w:spacing w:before="80" w:after="140" w:line="340" w:lineRule="auto"/>
        <w:jc w:val="both"/>
      </w:pPr>
      <w:r>
        <w:rPr>
          <w:color w:val="1A1A1A"/>
          <w:sz w:val="21"/>
          <w:szCs w:val="21"/>
        </w:rPr>
        <w:t>Die Forderung nach technisch</w:t>
      </w:r>
      <w:r>
        <w:rPr>
          <w:color w:val="1A1A1A"/>
          <w:sz w:val="21"/>
          <w:szCs w:val="21"/>
        </w:rPr>
        <w:t>er Überwachbarkeit setzt voraus, dass überwachbare Nachweise existieren. Ein KI-System, das seine Entscheidungen nicht in unveränderlicher, zeitgestempelter, kryptographisch attestierter Form dokumentiert, kann durch das BSI de facto nicht überwacht werden</w:t>
      </w:r>
      <w:r>
        <w:rPr>
          <w:color w:val="1A1A1A"/>
          <w:sz w:val="21"/>
          <w:szCs w:val="21"/>
        </w:rPr>
        <w:t xml:space="preserve"> — unabhängig davon, wie gut die behördliche Ausstattung ist.</w:t>
      </w:r>
    </w:p>
    <w:p w:rsidR="00514E2C" w:rsidRDefault="008A5B8F">
      <w:pPr>
        <w:spacing w:before="80" w:after="140" w:line="340" w:lineRule="auto"/>
        <w:jc w:val="both"/>
      </w:pPr>
      <w:r>
        <w:rPr>
          <w:color w:val="1A1A1A"/>
          <w:sz w:val="21"/>
          <w:szCs w:val="21"/>
        </w:rPr>
        <w:lastRenderedPageBreak/>
        <w:t xml:space="preserve">Die </w:t>
      </w:r>
      <w:proofErr w:type="spellStart"/>
      <w:r>
        <w:rPr>
          <w:color w:val="1A1A1A"/>
          <w:sz w:val="21"/>
          <w:szCs w:val="21"/>
        </w:rPr>
        <w:t>immo.quick</w:t>
      </w:r>
      <w:proofErr w:type="spellEnd"/>
      <w:r>
        <w:rPr>
          <w:color w:val="1A1A1A"/>
          <w:sz w:val="21"/>
          <w:szCs w:val="21"/>
        </w:rPr>
        <w:t xml:space="preserve"> </w:t>
      </w:r>
      <w:proofErr w:type="spellStart"/>
      <w:r>
        <w:rPr>
          <w:color w:val="1A1A1A"/>
          <w:sz w:val="21"/>
          <w:szCs w:val="21"/>
        </w:rPr>
        <w:t>Sovereign</w:t>
      </w:r>
      <w:proofErr w:type="spellEnd"/>
      <w:r>
        <w:rPr>
          <w:color w:val="1A1A1A"/>
          <w:sz w:val="21"/>
          <w:szCs w:val="21"/>
        </w:rPr>
        <w:t xml:space="preserve"> Compliance Engine verwendet keine KI für Compliance-Entscheidungen. Sie verwendet deterministische, rein mathematische Funktionen. 67 Rechtsregeln, kodiert als unverände</w:t>
      </w:r>
      <w:r>
        <w:rPr>
          <w:color w:val="1A1A1A"/>
          <w:sz w:val="21"/>
          <w:szCs w:val="21"/>
        </w:rPr>
        <w:t xml:space="preserve">rlicher Code. Null </w:t>
      </w:r>
      <w:proofErr w:type="spellStart"/>
      <w:r>
        <w:rPr>
          <w:color w:val="1A1A1A"/>
          <w:sz w:val="21"/>
          <w:szCs w:val="21"/>
        </w:rPr>
        <w:t>probabilistische</w:t>
      </w:r>
      <w:proofErr w:type="spellEnd"/>
      <w:r>
        <w:rPr>
          <w:color w:val="1A1A1A"/>
          <w:sz w:val="21"/>
          <w:szCs w:val="21"/>
        </w:rPr>
        <w:t xml:space="preserve"> Inferenz. Null maschinelles Lernen im Entscheidungspfad. Jedes Ergebnis ist vollständig erklärbar, vollständig reproduzierbar und vollständig </w:t>
      </w:r>
      <w:proofErr w:type="spellStart"/>
      <w:r>
        <w:rPr>
          <w:color w:val="1A1A1A"/>
          <w:sz w:val="21"/>
          <w:szCs w:val="21"/>
        </w:rPr>
        <w:t>auditierbar</w:t>
      </w:r>
      <w:proofErr w:type="spellEnd"/>
      <w:r>
        <w:rPr>
          <w:color w:val="1A1A1A"/>
          <w:sz w:val="21"/>
          <w:szCs w:val="21"/>
        </w:rPr>
        <w:t>.</w:t>
      </w:r>
    </w:p>
    <w:p w:rsidR="00514E2C" w:rsidRDefault="008A5B8F">
      <w:pPr>
        <w:spacing w:before="80" w:after="140" w:line="340" w:lineRule="auto"/>
        <w:jc w:val="both"/>
      </w:pPr>
      <w:r>
        <w:rPr>
          <w:color w:val="1A1A1A"/>
          <w:sz w:val="21"/>
          <w:szCs w:val="21"/>
        </w:rPr>
        <w:t>Aber das System schafft genau das, was das BSI-Mandat zur Überwac</w:t>
      </w:r>
      <w:r>
        <w:rPr>
          <w:color w:val="1A1A1A"/>
          <w:sz w:val="21"/>
          <w:szCs w:val="21"/>
        </w:rPr>
        <w:t xml:space="preserve">hung von KI-Systemen strukturell benötigt: das Beweissubstrat, auf dem Aufsicht überhaupt erst technisch fundiert ausgeübt werden kann. Jede Prüfung, jede Entscheidung, jede Regelanwendung erzeugt einen kryptographisch signierten, manipulationssicheren </w:t>
      </w:r>
      <w:proofErr w:type="spellStart"/>
      <w:r>
        <w:rPr>
          <w:color w:val="1A1A1A"/>
          <w:sz w:val="21"/>
          <w:szCs w:val="21"/>
        </w:rPr>
        <w:t>Rec</w:t>
      </w:r>
      <w:r>
        <w:rPr>
          <w:color w:val="1A1A1A"/>
          <w:sz w:val="21"/>
          <w:szCs w:val="21"/>
        </w:rPr>
        <w:t>eipt</w:t>
      </w:r>
      <w:proofErr w:type="spellEnd"/>
      <w:r>
        <w:rPr>
          <w:color w:val="1A1A1A"/>
          <w:sz w:val="21"/>
          <w:szCs w:val="21"/>
        </w:rPr>
        <w:t xml:space="preserve">. Dieser </w:t>
      </w:r>
      <w:proofErr w:type="spellStart"/>
      <w:r>
        <w:rPr>
          <w:color w:val="1A1A1A"/>
          <w:sz w:val="21"/>
          <w:szCs w:val="21"/>
        </w:rPr>
        <w:t>Receipt</w:t>
      </w:r>
      <w:proofErr w:type="spellEnd"/>
      <w:r>
        <w:rPr>
          <w:color w:val="1A1A1A"/>
          <w:sz w:val="21"/>
          <w:szCs w:val="21"/>
        </w:rPr>
        <w:t xml:space="preserve"> ist die Spur, die das Überwachungsregime des KI-Gesetzes fordert.</w:t>
      </w:r>
    </w:p>
    <w:p w:rsidR="00514E2C" w:rsidRDefault="008A5B8F">
      <w:pPr>
        <w:spacing w:before="80" w:after="140" w:line="340" w:lineRule="auto"/>
        <w:jc w:val="both"/>
      </w:pPr>
      <w:r>
        <w:rPr>
          <w:color w:val="1A1A1A"/>
          <w:sz w:val="21"/>
          <w:szCs w:val="21"/>
        </w:rPr>
        <w:t xml:space="preserve">Das ist präzise das, was unser </w:t>
      </w:r>
      <w:proofErr w:type="spellStart"/>
      <w:r>
        <w:rPr>
          <w:color w:val="1A1A1A"/>
          <w:sz w:val="21"/>
          <w:szCs w:val="21"/>
        </w:rPr>
        <w:t>Receipt</w:t>
      </w:r>
      <w:proofErr w:type="spellEnd"/>
      <w:r>
        <w:rPr>
          <w:color w:val="1A1A1A"/>
          <w:sz w:val="21"/>
          <w:szCs w:val="21"/>
        </w:rPr>
        <w:t>-System für jede Transaktion produziert. In unter fünfzig Millisekunden.</w:t>
      </w:r>
    </w:p>
    <w:p w:rsidR="00514E2C" w:rsidRDefault="008A5B8F">
      <w:pPr>
        <w:spacing w:before="80" w:after="140" w:line="340" w:lineRule="auto"/>
        <w:jc w:val="both"/>
      </w:pPr>
      <w:r>
        <w:rPr>
          <w:color w:val="1A1A1A"/>
          <w:sz w:val="21"/>
          <w:szCs w:val="21"/>
        </w:rPr>
        <w:t>Wir fordern das BSI auf, unsere Architektur als Referenzim</w:t>
      </w:r>
      <w:r>
        <w:rPr>
          <w:color w:val="1A1A1A"/>
          <w:sz w:val="21"/>
          <w:szCs w:val="21"/>
        </w:rPr>
        <w:t>plementierung für die Beweisanforderungen des neuen KI-Überwachungsmandats zu prüfen.</w:t>
      </w:r>
    </w:p>
    <w:p w:rsidR="00514E2C" w:rsidRDefault="008A5B8F">
      <w:r>
        <w:br w:type="page"/>
      </w:r>
    </w:p>
    <w:p w:rsidR="00514E2C" w:rsidRDefault="008A5B8F">
      <w:pPr>
        <w:spacing w:before="480" w:after="120"/>
      </w:pPr>
      <w:r>
        <w:rPr>
          <w:b/>
          <w:bCs/>
          <w:color w:val="1B2A3B"/>
        </w:rPr>
        <w:lastRenderedPageBreak/>
        <w:t xml:space="preserve">Teil IV: Was ein </w:t>
      </w:r>
      <w:proofErr w:type="spellStart"/>
      <w:r>
        <w:rPr>
          <w:b/>
          <w:bCs/>
          <w:color w:val="1B2A3B"/>
        </w:rPr>
        <w:t>Receipt</w:t>
      </w:r>
      <w:proofErr w:type="spellEnd"/>
      <w:r>
        <w:rPr>
          <w:b/>
          <w:bCs/>
          <w:color w:val="1B2A3B"/>
        </w:rPr>
        <w:t xml:space="preserve"> ist, was er enthält, und warum er noch in dreißig Jahren vor Gericht standhält</w:t>
      </w:r>
    </w:p>
    <w:p w:rsidR="00514E2C" w:rsidRDefault="008A5B8F">
      <w:pPr>
        <w:spacing w:before="80" w:after="140" w:line="340" w:lineRule="auto"/>
        <w:jc w:val="both"/>
      </w:pPr>
      <w:r>
        <w:rPr>
          <w:color w:val="1A1A1A"/>
          <w:sz w:val="21"/>
          <w:szCs w:val="21"/>
        </w:rPr>
        <w:t>Wenn eine Institution eine Transaktion zur Compliance-Prüfung ei</w:t>
      </w:r>
      <w:r>
        <w:rPr>
          <w:color w:val="1A1A1A"/>
          <w:sz w:val="21"/>
          <w:szCs w:val="21"/>
        </w:rPr>
        <w:t>nreicht, geschieht Folgendes:</w:t>
      </w:r>
    </w:p>
    <w:p w:rsidR="00514E2C" w:rsidRDefault="008A5B8F">
      <w:pPr>
        <w:spacing w:before="80" w:after="140" w:line="340" w:lineRule="auto"/>
        <w:jc w:val="both"/>
      </w:pPr>
      <w:r>
        <w:rPr>
          <w:color w:val="1A1A1A"/>
          <w:sz w:val="21"/>
          <w:szCs w:val="21"/>
        </w:rPr>
        <w:t xml:space="preserve">Das System erstellt einen Snapshot des Inputs, </w:t>
      </w:r>
      <w:proofErr w:type="spellStart"/>
      <w:r>
        <w:rPr>
          <w:color w:val="1A1A1A"/>
          <w:sz w:val="21"/>
          <w:szCs w:val="21"/>
        </w:rPr>
        <w:t>hasht</w:t>
      </w:r>
      <w:proofErr w:type="spellEnd"/>
      <w:r>
        <w:rPr>
          <w:color w:val="1A1A1A"/>
          <w:sz w:val="21"/>
          <w:szCs w:val="21"/>
        </w:rPr>
        <w:t xml:space="preserve"> ihn mit SHA-256 und dokumentiert exakt, was geprüft wurde. Es führt diesen Input dann durch sieben sequentielle Verifikations-Gates.</w:t>
      </w:r>
    </w:p>
    <w:p w:rsidR="00514E2C" w:rsidRDefault="008A5B8F">
      <w:pPr>
        <w:spacing w:before="80" w:after="140" w:line="340" w:lineRule="auto"/>
        <w:jc w:val="both"/>
      </w:pPr>
      <w:r>
        <w:rPr>
          <w:color w:val="1A1A1A"/>
          <w:sz w:val="21"/>
          <w:szCs w:val="21"/>
        </w:rPr>
        <w:t>Gate 1 prüft die Rechtsidentität der Gegenpartei gegen den GLEIF Global LEI Index — das maßgebliche öffentliche Register mit 2,1 Millionen weltweiten Rechtspersonen.</w:t>
      </w:r>
    </w:p>
    <w:p w:rsidR="00514E2C" w:rsidRDefault="008A5B8F">
      <w:pPr>
        <w:spacing w:before="80" w:after="140" w:line="340" w:lineRule="auto"/>
        <w:jc w:val="both"/>
      </w:pPr>
      <w:r>
        <w:rPr>
          <w:color w:val="1A1A1A"/>
          <w:sz w:val="21"/>
          <w:szCs w:val="21"/>
        </w:rPr>
        <w:t xml:space="preserve">Gate 2 prüft Sanktionsexposition gegen die EU </w:t>
      </w:r>
      <w:proofErr w:type="spellStart"/>
      <w:r>
        <w:rPr>
          <w:color w:val="1A1A1A"/>
          <w:sz w:val="21"/>
          <w:szCs w:val="21"/>
        </w:rPr>
        <w:t>Sanctions</w:t>
      </w:r>
      <w:proofErr w:type="spellEnd"/>
      <w:r>
        <w:rPr>
          <w:color w:val="1A1A1A"/>
          <w:sz w:val="21"/>
          <w:szCs w:val="21"/>
        </w:rPr>
        <w:t xml:space="preserve"> </w:t>
      </w:r>
      <w:proofErr w:type="spellStart"/>
      <w:r>
        <w:rPr>
          <w:color w:val="1A1A1A"/>
          <w:sz w:val="21"/>
          <w:szCs w:val="21"/>
        </w:rPr>
        <w:t>Map</w:t>
      </w:r>
      <w:proofErr w:type="spellEnd"/>
      <w:r>
        <w:rPr>
          <w:color w:val="1A1A1A"/>
          <w:sz w:val="21"/>
          <w:szCs w:val="21"/>
        </w:rPr>
        <w:t>, die OFAC SDN-Liste des US-Fin</w:t>
      </w:r>
      <w:r>
        <w:rPr>
          <w:color w:val="1A1A1A"/>
          <w:sz w:val="21"/>
          <w:szCs w:val="21"/>
        </w:rPr>
        <w:t xml:space="preserve">anzministeriums, </w:t>
      </w:r>
      <w:proofErr w:type="spellStart"/>
      <w:r>
        <w:rPr>
          <w:color w:val="1A1A1A"/>
          <w:sz w:val="21"/>
          <w:szCs w:val="21"/>
        </w:rPr>
        <w:t>OpenSanctions</w:t>
      </w:r>
      <w:proofErr w:type="spellEnd"/>
      <w:r>
        <w:rPr>
          <w:color w:val="1A1A1A"/>
          <w:sz w:val="21"/>
          <w:szCs w:val="21"/>
        </w:rPr>
        <w:t xml:space="preserve"> mit seinen 337 Quelldatenbanken und die konsolidierte UN-Sanktionsliste.</w:t>
      </w:r>
    </w:p>
    <w:p w:rsidR="00514E2C" w:rsidRDefault="008A5B8F">
      <w:pPr>
        <w:spacing w:before="80" w:after="140" w:line="340" w:lineRule="auto"/>
        <w:jc w:val="both"/>
      </w:pPr>
      <w:r>
        <w:rPr>
          <w:color w:val="1A1A1A"/>
          <w:sz w:val="21"/>
          <w:szCs w:val="21"/>
        </w:rPr>
        <w:t xml:space="preserve">Gate 3 wendet alle anwendbaren Rechtsregeln an, basierend auf Jurisdiktion, Transaktionstyp und Entitätsklassifikation — </w:t>
      </w:r>
      <w:proofErr w:type="spellStart"/>
      <w:r>
        <w:rPr>
          <w:color w:val="1A1A1A"/>
          <w:sz w:val="21"/>
          <w:szCs w:val="21"/>
        </w:rPr>
        <w:t>GwG</w:t>
      </w:r>
      <w:proofErr w:type="spellEnd"/>
      <w:r>
        <w:rPr>
          <w:color w:val="1A1A1A"/>
          <w:sz w:val="21"/>
          <w:szCs w:val="21"/>
        </w:rPr>
        <w:t>, DORA, AMLD6, PSD3, KWG, FI</w:t>
      </w:r>
      <w:r>
        <w:rPr>
          <w:color w:val="1A1A1A"/>
          <w:sz w:val="21"/>
          <w:szCs w:val="21"/>
        </w:rPr>
        <w:t>NMA und mehr, gleichzeitig, in Millisekunden.</w:t>
      </w:r>
    </w:p>
    <w:p w:rsidR="00514E2C" w:rsidRDefault="008A5B8F">
      <w:pPr>
        <w:spacing w:before="80" w:after="140" w:line="340" w:lineRule="auto"/>
        <w:jc w:val="both"/>
      </w:pPr>
      <w:r>
        <w:rPr>
          <w:color w:val="1A1A1A"/>
          <w:sz w:val="21"/>
          <w:szCs w:val="21"/>
        </w:rPr>
        <w:t xml:space="preserve">Gate 4 berechnet </w:t>
      </w:r>
      <w:proofErr w:type="gramStart"/>
      <w:r>
        <w:rPr>
          <w:color w:val="1A1A1A"/>
          <w:sz w:val="21"/>
          <w:szCs w:val="21"/>
        </w:rPr>
        <w:t>einen zusammengesetzten</w:t>
      </w:r>
      <w:proofErr w:type="gramEnd"/>
      <w:r>
        <w:rPr>
          <w:color w:val="1A1A1A"/>
          <w:sz w:val="21"/>
          <w:szCs w:val="21"/>
        </w:rPr>
        <w:t xml:space="preserve"> Risikoscore aus Jurisdiktionsrisiko, </w:t>
      </w:r>
      <w:proofErr w:type="spellStart"/>
      <w:r>
        <w:rPr>
          <w:color w:val="1A1A1A"/>
          <w:sz w:val="21"/>
          <w:szCs w:val="21"/>
        </w:rPr>
        <w:t>Eigentümerschaftstransparenz</w:t>
      </w:r>
      <w:proofErr w:type="spellEnd"/>
      <w:r>
        <w:rPr>
          <w:color w:val="1A1A1A"/>
          <w:sz w:val="21"/>
          <w:szCs w:val="21"/>
        </w:rPr>
        <w:t xml:space="preserve"> und historischen Mustern.</w:t>
      </w:r>
    </w:p>
    <w:p w:rsidR="00514E2C" w:rsidRDefault="008A5B8F">
      <w:pPr>
        <w:spacing w:before="80" w:after="140" w:line="340" w:lineRule="auto"/>
        <w:jc w:val="both"/>
      </w:pPr>
      <w:r>
        <w:rPr>
          <w:color w:val="1A1A1A"/>
          <w:sz w:val="21"/>
          <w:szCs w:val="21"/>
        </w:rPr>
        <w:t>Gate 5 löst Dual-</w:t>
      </w:r>
      <w:proofErr w:type="spellStart"/>
      <w:r>
        <w:rPr>
          <w:color w:val="1A1A1A"/>
          <w:sz w:val="21"/>
          <w:szCs w:val="21"/>
        </w:rPr>
        <w:t>Approval</w:t>
      </w:r>
      <w:proofErr w:type="spellEnd"/>
      <w:r>
        <w:rPr>
          <w:color w:val="1A1A1A"/>
          <w:sz w:val="21"/>
          <w:szCs w:val="21"/>
        </w:rPr>
        <w:t>-Pflichten aus, wenn der Risikoscore definierte Schw</w:t>
      </w:r>
      <w:r>
        <w:rPr>
          <w:color w:val="1A1A1A"/>
          <w:sz w:val="21"/>
          <w:szCs w:val="21"/>
        </w:rPr>
        <w:t xml:space="preserve">ellenwerte </w:t>
      </w:r>
      <w:proofErr w:type="gramStart"/>
      <w:r>
        <w:rPr>
          <w:color w:val="1A1A1A"/>
          <w:sz w:val="21"/>
          <w:szCs w:val="21"/>
        </w:rPr>
        <w:t>überschreitet</w:t>
      </w:r>
      <w:proofErr w:type="gramEnd"/>
      <w:r>
        <w:rPr>
          <w:color w:val="1A1A1A"/>
          <w:sz w:val="21"/>
          <w:szCs w:val="21"/>
        </w:rPr>
        <w:t>.</w:t>
      </w:r>
    </w:p>
    <w:p w:rsidR="00514E2C" w:rsidRDefault="008A5B8F">
      <w:pPr>
        <w:spacing w:before="80" w:after="140" w:line="340" w:lineRule="auto"/>
        <w:jc w:val="both"/>
      </w:pPr>
      <w:r>
        <w:rPr>
          <w:color w:val="1A1A1A"/>
          <w:sz w:val="21"/>
          <w:szCs w:val="21"/>
        </w:rPr>
        <w:t xml:space="preserve">Gate 6 schreibt einen unveränderlichen </w:t>
      </w:r>
      <w:proofErr w:type="spellStart"/>
      <w:r>
        <w:rPr>
          <w:color w:val="1A1A1A"/>
          <w:sz w:val="21"/>
          <w:szCs w:val="21"/>
        </w:rPr>
        <w:t>Witness</w:t>
      </w:r>
      <w:proofErr w:type="spellEnd"/>
      <w:r>
        <w:rPr>
          <w:color w:val="1A1A1A"/>
          <w:sz w:val="21"/>
          <w:szCs w:val="21"/>
        </w:rPr>
        <w:t xml:space="preserve"> </w:t>
      </w:r>
      <w:proofErr w:type="spellStart"/>
      <w:r>
        <w:rPr>
          <w:color w:val="1A1A1A"/>
          <w:sz w:val="21"/>
          <w:szCs w:val="21"/>
        </w:rPr>
        <w:t>Record</w:t>
      </w:r>
      <w:proofErr w:type="spellEnd"/>
      <w:r>
        <w:rPr>
          <w:color w:val="1A1A1A"/>
          <w:sz w:val="21"/>
          <w:szCs w:val="21"/>
        </w:rPr>
        <w:t>.</w:t>
      </w:r>
    </w:p>
    <w:p w:rsidR="00514E2C" w:rsidRDefault="008A5B8F">
      <w:pPr>
        <w:spacing w:before="80" w:after="140" w:line="340" w:lineRule="auto"/>
        <w:jc w:val="both"/>
      </w:pPr>
      <w:r>
        <w:rPr>
          <w:color w:val="1A1A1A"/>
          <w:sz w:val="21"/>
          <w:szCs w:val="21"/>
        </w:rPr>
        <w:t xml:space="preserve">Gate 7 gibt den </w:t>
      </w:r>
      <w:proofErr w:type="spellStart"/>
      <w:r>
        <w:rPr>
          <w:color w:val="1A1A1A"/>
          <w:sz w:val="21"/>
          <w:szCs w:val="21"/>
        </w:rPr>
        <w:t>Receipt</w:t>
      </w:r>
      <w:proofErr w:type="spellEnd"/>
      <w:r>
        <w:rPr>
          <w:color w:val="1A1A1A"/>
          <w:sz w:val="21"/>
          <w:szCs w:val="21"/>
        </w:rPr>
        <w:t xml:space="preserve"> aus und nullt den Arbeitsspeicher.</w:t>
      </w:r>
    </w:p>
    <w:p w:rsidR="00514E2C" w:rsidRDefault="008A5B8F">
      <w:pPr>
        <w:spacing w:before="80" w:after="140" w:line="340" w:lineRule="auto"/>
        <w:jc w:val="both"/>
      </w:pPr>
      <w:r>
        <w:rPr>
          <w:color w:val="1A1A1A"/>
          <w:sz w:val="21"/>
          <w:szCs w:val="21"/>
        </w:rPr>
        <w:t xml:space="preserve">Der </w:t>
      </w:r>
      <w:proofErr w:type="spellStart"/>
      <w:r>
        <w:rPr>
          <w:color w:val="1A1A1A"/>
          <w:sz w:val="21"/>
          <w:szCs w:val="21"/>
        </w:rPr>
        <w:t>Receipt</w:t>
      </w:r>
      <w:proofErr w:type="spellEnd"/>
      <w:r>
        <w:rPr>
          <w:color w:val="1A1A1A"/>
          <w:sz w:val="21"/>
          <w:szCs w:val="21"/>
        </w:rPr>
        <w:t xml:space="preserve"> enthält: den exakten Zeitstempel im TAI64N-Format — eine monotone Zeitskala, die durch lokale Uhrabweichungen oder </w:t>
      </w:r>
      <w:proofErr w:type="spellStart"/>
      <w:r>
        <w:rPr>
          <w:color w:val="1A1A1A"/>
          <w:sz w:val="21"/>
          <w:szCs w:val="21"/>
        </w:rPr>
        <w:t>Zeitzonemanipulation</w:t>
      </w:r>
      <w:proofErr w:type="spellEnd"/>
      <w:r>
        <w:rPr>
          <w:color w:val="1A1A1A"/>
          <w:sz w:val="21"/>
          <w:szCs w:val="21"/>
        </w:rPr>
        <w:t xml:space="preserve"> nicht verfälscht werden kann; den SHA-256-Hash aller Eingabeparameter; den Versions-Hash jeder angewendeten </w:t>
      </w:r>
      <w:r>
        <w:rPr>
          <w:color w:val="1A1A1A"/>
          <w:sz w:val="21"/>
          <w:szCs w:val="21"/>
        </w:rPr>
        <w:t xml:space="preserve">Rechtsregel; die Entscheidung jedes einzelnen Gates; den Composite </w:t>
      </w:r>
      <w:proofErr w:type="spellStart"/>
      <w:r>
        <w:rPr>
          <w:color w:val="1A1A1A"/>
          <w:sz w:val="21"/>
          <w:szCs w:val="21"/>
        </w:rPr>
        <w:t>Risk</w:t>
      </w:r>
      <w:proofErr w:type="spellEnd"/>
      <w:r>
        <w:rPr>
          <w:color w:val="1A1A1A"/>
          <w:sz w:val="21"/>
          <w:szCs w:val="21"/>
        </w:rPr>
        <w:t xml:space="preserve"> Score; eine HMAC-SHA256-Signatur über die gesamte Ausgabe; und einen Chain-Link zum vorherigen </w:t>
      </w:r>
      <w:proofErr w:type="spellStart"/>
      <w:r>
        <w:rPr>
          <w:color w:val="1A1A1A"/>
          <w:sz w:val="21"/>
          <w:szCs w:val="21"/>
        </w:rPr>
        <w:t>Receipt</w:t>
      </w:r>
      <w:proofErr w:type="spellEnd"/>
      <w:r>
        <w:rPr>
          <w:color w:val="1A1A1A"/>
          <w:sz w:val="21"/>
          <w:szCs w:val="21"/>
        </w:rPr>
        <w:t xml:space="preserve"> in der Sequenz, der eine Merkle-Chain bildet, in der kein einzelner Datensatz ver</w:t>
      </w:r>
      <w:r>
        <w:rPr>
          <w:color w:val="1A1A1A"/>
          <w:sz w:val="21"/>
          <w:szCs w:val="21"/>
        </w:rPr>
        <w:t xml:space="preserve">ändert werden kann, ohne alle nachfolgenden zu </w:t>
      </w:r>
      <w:proofErr w:type="spellStart"/>
      <w:r>
        <w:rPr>
          <w:color w:val="1A1A1A"/>
          <w:sz w:val="21"/>
          <w:szCs w:val="21"/>
        </w:rPr>
        <w:t>invalidieren</w:t>
      </w:r>
      <w:proofErr w:type="spellEnd"/>
      <w:r>
        <w:rPr>
          <w:color w:val="1A1A1A"/>
          <w:sz w:val="21"/>
          <w:szCs w:val="21"/>
        </w:rPr>
        <w:t>.</w:t>
      </w:r>
    </w:p>
    <w:p w:rsidR="00514E2C" w:rsidRDefault="008A5B8F">
      <w:pPr>
        <w:spacing w:before="80" w:after="140" w:line="340" w:lineRule="auto"/>
        <w:jc w:val="both"/>
      </w:pPr>
      <w:r>
        <w:rPr>
          <w:color w:val="1A1A1A"/>
          <w:sz w:val="21"/>
          <w:szCs w:val="21"/>
        </w:rPr>
        <w:t xml:space="preserve">Vereinfachtes strukturelles Beispiel eines </w:t>
      </w:r>
      <w:proofErr w:type="spellStart"/>
      <w:r>
        <w:rPr>
          <w:color w:val="1A1A1A"/>
          <w:sz w:val="21"/>
          <w:szCs w:val="21"/>
        </w:rPr>
        <w:t>Receipts</w:t>
      </w:r>
      <w:proofErr w:type="spellEnd"/>
      <w:r>
        <w:rPr>
          <w:color w:val="1A1A1A"/>
          <w:sz w:val="21"/>
          <w:szCs w:val="21"/>
        </w:rPr>
        <w:t>:</w:t>
      </w:r>
    </w:p>
    <w:p w:rsidR="00514E2C" w:rsidRDefault="00514E2C"/>
    <w:p w:rsidR="00514E2C" w:rsidRDefault="008A5B8F">
      <w:pPr>
        <w:shd w:val="clear" w:color="auto" w:fill="F7F9FB"/>
        <w:spacing w:before="60" w:after="60" w:line="300" w:lineRule="auto"/>
        <w:ind w:left="720"/>
      </w:pPr>
      <w:r>
        <w:rPr>
          <w:rFonts w:ascii="Courier New" w:eastAsia="Courier New" w:hAnsi="Courier New" w:cs="Courier New"/>
          <w:color w:val="2E4057"/>
          <w:sz w:val="18"/>
          <w:szCs w:val="18"/>
        </w:rPr>
        <w:t>RECEIPT:             SLE-2026-00003847</w:t>
      </w:r>
    </w:p>
    <w:p w:rsidR="00514E2C" w:rsidRDefault="008A5B8F">
      <w:pPr>
        <w:shd w:val="clear" w:color="auto" w:fill="F7F9FB"/>
        <w:spacing w:before="60" w:after="60" w:line="300" w:lineRule="auto"/>
        <w:ind w:left="720"/>
      </w:pPr>
      <w:r>
        <w:rPr>
          <w:rFonts w:ascii="Courier New" w:eastAsia="Courier New" w:hAnsi="Courier New" w:cs="Courier New"/>
          <w:color w:val="2E4057"/>
          <w:sz w:val="18"/>
          <w:szCs w:val="18"/>
        </w:rPr>
        <w:t>TIMESTAMP:           400000006849a1c3 (TAI64N)</w:t>
      </w:r>
    </w:p>
    <w:p w:rsidR="00514E2C" w:rsidRDefault="008A5B8F">
      <w:pPr>
        <w:shd w:val="clear" w:color="auto" w:fill="F7F9FB"/>
        <w:spacing w:before="60" w:after="60" w:line="300" w:lineRule="auto"/>
        <w:ind w:left="720"/>
      </w:pPr>
      <w:r>
        <w:rPr>
          <w:rFonts w:ascii="Courier New" w:eastAsia="Courier New" w:hAnsi="Courier New" w:cs="Courier New"/>
          <w:color w:val="2E4057"/>
          <w:sz w:val="18"/>
          <w:szCs w:val="18"/>
        </w:rPr>
        <w:t>ENTITY:              Deutsche Industrieholding GmbH</w:t>
      </w:r>
    </w:p>
    <w:p w:rsidR="00514E2C" w:rsidRDefault="008A5B8F">
      <w:pPr>
        <w:shd w:val="clear" w:color="auto" w:fill="F7F9FB"/>
        <w:spacing w:before="60" w:after="60" w:line="300" w:lineRule="auto"/>
        <w:ind w:left="720"/>
      </w:pPr>
      <w:r>
        <w:rPr>
          <w:rFonts w:ascii="Courier New" w:eastAsia="Courier New" w:hAnsi="Courier New" w:cs="Courier New"/>
          <w:color w:val="2E4057"/>
          <w:sz w:val="18"/>
          <w:szCs w:val="18"/>
        </w:rPr>
        <w:t>LEI</w:t>
      </w:r>
      <w:r>
        <w:rPr>
          <w:rFonts w:ascii="Courier New" w:eastAsia="Courier New" w:hAnsi="Courier New" w:cs="Courier New"/>
          <w:color w:val="2E4057"/>
          <w:sz w:val="18"/>
          <w:szCs w:val="18"/>
        </w:rPr>
        <w:t>:                 5299001XXXXXXXXXXXXXX (GLEIF verifiziert)</w:t>
      </w:r>
    </w:p>
    <w:p w:rsidR="00514E2C" w:rsidRDefault="008A5B8F">
      <w:pPr>
        <w:shd w:val="clear" w:color="auto" w:fill="F7F9FB"/>
        <w:spacing w:before="60" w:after="60" w:line="300" w:lineRule="auto"/>
        <w:ind w:left="720"/>
      </w:pPr>
      <w:r>
        <w:rPr>
          <w:rFonts w:ascii="Courier New" w:eastAsia="Courier New" w:hAnsi="Courier New" w:cs="Courier New"/>
          <w:color w:val="2E4057"/>
          <w:sz w:val="18"/>
          <w:szCs w:val="18"/>
        </w:rPr>
        <w:t>GATE_1:              PASS — LEI aktiv, Entität registriert</w:t>
      </w:r>
    </w:p>
    <w:p w:rsidR="00514E2C" w:rsidRDefault="008A5B8F">
      <w:pPr>
        <w:shd w:val="clear" w:color="auto" w:fill="F7F9FB"/>
        <w:spacing w:before="60" w:after="60" w:line="300" w:lineRule="auto"/>
        <w:ind w:left="720"/>
      </w:pPr>
      <w:r>
        <w:rPr>
          <w:rFonts w:ascii="Courier New" w:eastAsia="Courier New" w:hAnsi="Courier New" w:cs="Courier New"/>
          <w:color w:val="2E4057"/>
          <w:sz w:val="18"/>
          <w:szCs w:val="18"/>
        </w:rPr>
        <w:t>GATE_2:              PASS — kein Sanktionstreffer (EU/OFAC/UN/</w:t>
      </w:r>
      <w:proofErr w:type="spellStart"/>
      <w:r>
        <w:rPr>
          <w:rFonts w:ascii="Courier New" w:eastAsia="Courier New" w:hAnsi="Courier New" w:cs="Courier New"/>
          <w:color w:val="2E4057"/>
          <w:sz w:val="18"/>
          <w:szCs w:val="18"/>
        </w:rPr>
        <w:t>OpenSanctions</w:t>
      </w:r>
      <w:proofErr w:type="spellEnd"/>
      <w:r>
        <w:rPr>
          <w:rFonts w:ascii="Courier New" w:eastAsia="Courier New" w:hAnsi="Courier New" w:cs="Courier New"/>
          <w:color w:val="2E4057"/>
          <w:sz w:val="18"/>
          <w:szCs w:val="18"/>
        </w:rPr>
        <w:t>)</w:t>
      </w:r>
    </w:p>
    <w:p w:rsidR="00514E2C" w:rsidRDefault="008A5B8F">
      <w:pPr>
        <w:shd w:val="clear" w:color="auto" w:fill="F7F9FB"/>
        <w:spacing w:before="60" w:after="60" w:line="300" w:lineRule="auto"/>
        <w:ind w:left="720"/>
      </w:pPr>
      <w:r>
        <w:rPr>
          <w:rFonts w:ascii="Courier New" w:eastAsia="Courier New" w:hAnsi="Courier New" w:cs="Courier New"/>
          <w:color w:val="2E4057"/>
          <w:sz w:val="18"/>
          <w:szCs w:val="18"/>
        </w:rPr>
        <w:t xml:space="preserve">GATE_3:              WARN — </w:t>
      </w:r>
      <w:proofErr w:type="spellStart"/>
      <w:r>
        <w:rPr>
          <w:rFonts w:ascii="Courier New" w:eastAsia="Courier New" w:hAnsi="Courier New" w:cs="Courier New"/>
          <w:color w:val="2E4057"/>
          <w:sz w:val="18"/>
          <w:szCs w:val="18"/>
        </w:rPr>
        <w:t>GwG</w:t>
      </w:r>
      <w:proofErr w:type="spellEnd"/>
      <w:r>
        <w:rPr>
          <w:rFonts w:ascii="Courier New" w:eastAsia="Courier New" w:hAnsi="Courier New" w:cs="Courier New"/>
          <w:color w:val="2E4057"/>
          <w:sz w:val="18"/>
          <w:szCs w:val="18"/>
        </w:rPr>
        <w:t xml:space="preserve"> §10 EDD ausgelöst (Schwellen</w:t>
      </w:r>
      <w:r>
        <w:rPr>
          <w:rFonts w:ascii="Courier New" w:eastAsia="Courier New" w:hAnsi="Courier New" w:cs="Courier New"/>
          <w:color w:val="2E4057"/>
          <w:sz w:val="18"/>
          <w:szCs w:val="18"/>
        </w:rPr>
        <w:t>wert überschritten)</w:t>
      </w:r>
    </w:p>
    <w:p w:rsidR="00514E2C" w:rsidRDefault="008A5B8F">
      <w:pPr>
        <w:shd w:val="clear" w:color="auto" w:fill="F7F9FB"/>
        <w:spacing w:before="60" w:after="60" w:line="300" w:lineRule="auto"/>
        <w:ind w:left="720"/>
      </w:pPr>
      <w:r>
        <w:rPr>
          <w:rFonts w:ascii="Courier New" w:eastAsia="Courier New" w:hAnsi="Courier New" w:cs="Courier New"/>
          <w:color w:val="2E4057"/>
          <w:sz w:val="18"/>
          <w:szCs w:val="18"/>
        </w:rPr>
        <w:t>GATE_4:              RISK_SCORE: 0.62 / LEVEL: MITTEL</w:t>
      </w:r>
    </w:p>
    <w:p w:rsidR="00514E2C" w:rsidRDefault="008A5B8F">
      <w:pPr>
        <w:shd w:val="clear" w:color="auto" w:fill="F7F9FB"/>
        <w:spacing w:before="60" w:after="60" w:line="300" w:lineRule="auto"/>
        <w:ind w:left="720"/>
      </w:pPr>
      <w:r>
        <w:rPr>
          <w:rFonts w:ascii="Courier New" w:eastAsia="Courier New" w:hAnsi="Courier New" w:cs="Courier New"/>
          <w:color w:val="2E4057"/>
          <w:sz w:val="18"/>
          <w:szCs w:val="18"/>
        </w:rPr>
        <w:t>GATE_5:              DUAL_APPROVAL: nicht erforderlich (Score &lt; 0.70)</w:t>
      </w:r>
    </w:p>
    <w:p w:rsidR="00514E2C" w:rsidRDefault="008A5B8F">
      <w:pPr>
        <w:shd w:val="clear" w:color="auto" w:fill="F7F9FB"/>
        <w:spacing w:before="60" w:after="60" w:line="300" w:lineRule="auto"/>
        <w:ind w:left="720"/>
      </w:pPr>
      <w:r>
        <w:rPr>
          <w:rFonts w:ascii="Courier New" w:eastAsia="Courier New" w:hAnsi="Courier New" w:cs="Courier New"/>
          <w:color w:val="2E4057"/>
          <w:sz w:val="18"/>
          <w:szCs w:val="18"/>
        </w:rPr>
        <w:lastRenderedPageBreak/>
        <w:t>GATE_6:              WITNESS_HASH: a3f7c9d2...</w:t>
      </w:r>
    </w:p>
    <w:p w:rsidR="00514E2C" w:rsidRDefault="008A5B8F">
      <w:pPr>
        <w:shd w:val="clear" w:color="auto" w:fill="F7F9FB"/>
        <w:spacing w:before="60" w:after="60" w:line="300" w:lineRule="auto"/>
        <w:ind w:left="720"/>
      </w:pPr>
      <w:r>
        <w:rPr>
          <w:rFonts w:ascii="Courier New" w:eastAsia="Courier New" w:hAnsi="Courier New" w:cs="Courier New"/>
          <w:color w:val="2E4057"/>
          <w:sz w:val="18"/>
          <w:szCs w:val="18"/>
        </w:rPr>
        <w:t>GATE_7:              AUSGESTELLT</w:t>
      </w:r>
    </w:p>
    <w:p w:rsidR="00514E2C" w:rsidRDefault="008A5B8F">
      <w:pPr>
        <w:shd w:val="clear" w:color="auto" w:fill="F7F9FB"/>
        <w:spacing w:before="60" w:after="60" w:line="300" w:lineRule="auto"/>
        <w:ind w:left="720"/>
      </w:pPr>
      <w:r>
        <w:rPr>
          <w:rFonts w:ascii="Courier New" w:eastAsia="Courier New" w:hAnsi="Courier New" w:cs="Courier New"/>
          <w:color w:val="2E4057"/>
          <w:sz w:val="18"/>
          <w:szCs w:val="18"/>
        </w:rPr>
        <w:t>RULE_VERSION_HASH:   8b2d14f1...</w:t>
      </w:r>
    </w:p>
    <w:p w:rsidR="00514E2C" w:rsidRDefault="008A5B8F">
      <w:pPr>
        <w:shd w:val="clear" w:color="auto" w:fill="F7F9FB"/>
        <w:spacing w:before="60" w:after="60" w:line="300" w:lineRule="auto"/>
        <w:ind w:left="720"/>
      </w:pPr>
      <w:r>
        <w:rPr>
          <w:rFonts w:ascii="Courier New" w:eastAsia="Courier New" w:hAnsi="Courier New" w:cs="Courier New"/>
          <w:color w:val="2E4057"/>
          <w:sz w:val="18"/>
          <w:szCs w:val="18"/>
        </w:rPr>
        <w:t>PREV_RECEIPT_HASH:   4e91f2a7...</w:t>
      </w:r>
    </w:p>
    <w:p w:rsidR="00514E2C" w:rsidRDefault="008A5B8F">
      <w:pPr>
        <w:shd w:val="clear" w:color="auto" w:fill="F7F9FB"/>
        <w:spacing w:before="60" w:after="60" w:line="300" w:lineRule="auto"/>
        <w:ind w:left="720"/>
      </w:pPr>
      <w:r>
        <w:rPr>
          <w:rFonts w:ascii="Courier New" w:eastAsia="Courier New" w:hAnsi="Courier New" w:cs="Courier New"/>
          <w:color w:val="2E4057"/>
          <w:sz w:val="18"/>
          <w:szCs w:val="18"/>
        </w:rPr>
        <w:t>HMAC_SHA256:         c7f3a19b...</w:t>
      </w:r>
    </w:p>
    <w:p w:rsidR="00514E2C" w:rsidRDefault="008A5B8F">
      <w:pPr>
        <w:shd w:val="clear" w:color="auto" w:fill="F7F9FB"/>
        <w:spacing w:before="60" w:after="60" w:line="300" w:lineRule="auto"/>
        <w:ind w:left="720"/>
      </w:pPr>
      <w:r>
        <w:rPr>
          <w:rFonts w:ascii="Courier New" w:eastAsia="Courier New" w:hAnsi="Courier New" w:cs="Courier New"/>
          <w:color w:val="2E4057"/>
          <w:sz w:val="18"/>
          <w:szCs w:val="18"/>
        </w:rPr>
        <w:t>PROCESSING_TIME:     41ms</w:t>
      </w:r>
    </w:p>
    <w:p w:rsidR="00514E2C" w:rsidRDefault="00514E2C"/>
    <w:p w:rsidR="00514E2C" w:rsidRDefault="008A5B8F">
      <w:pPr>
        <w:spacing w:before="80" w:after="140" w:line="340" w:lineRule="auto"/>
        <w:jc w:val="both"/>
      </w:pPr>
      <w:r>
        <w:rPr>
          <w:color w:val="1A1A1A"/>
          <w:sz w:val="21"/>
          <w:szCs w:val="21"/>
        </w:rPr>
        <w:t xml:space="preserve">Dieser </w:t>
      </w:r>
      <w:proofErr w:type="spellStart"/>
      <w:r>
        <w:rPr>
          <w:color w:val="1A1A1A"/>
          <w:sz w:val="21"/>
          <w:szCs w:val="21"/>
        </w:rPr>
        <w:t>Receipt</w:t>
      </w:r>
      <w:proofErr w:type="spellEnd"/>
      <w:r>
        <w:rPr>
          <w:color w:val="1A1A1A"/>
          <w:sz w:val="21"/>
          <w:szCs w:val="21"/>
        </w:rPr>
        <w:t xml:space="preserve"> kann von jedem, überall, jederzeit, ohne Zugang zu unserer Infrastruktur, ohne Internetverbindung, ohne </w:t>
      </w:r>
      <w:proofErr w:type="spellStart"/>
      <w:r>
        <w:rPr>
          <w:color w:val="1A1A1A"/>
          <w:sz w:val="21"/>
          <w:szCs w:val="21"/>
        </w:rPr>
        <w:t>immo.quick</w:t>
      </w:r>
      <w:proofErr w:type="spellEnd"/>
      <w:r>
        <w:rPr>
          <w:color w:val="1A1A1A"/>
          <w:sz w:val="21"/>
          <w:szCs w:val="21"/>
        </w:rPr>
        <w:t xml:space="preserve"> als Unternehmen verifiziert werden. Die Verifikation erfordert nur den öffentlichen Schlüssel und eine Standard-SHA-256-Implem</w:t>
      </w:r>
      <w:r>
        <w:rPr>
          <w:color w:val="1A1A1A"/>
          <w:sz w:val="21"/>
          <w:szCs w:val="21"/>
        </w:rPr>
        <w:t xml:space="preserve">entierung. Der </w:t>
      </w:r>
      <w:proofErr w:type="spellStart"/>
      <w:r>
        <w:rPr>
          <w:color w:val="1A1A1A"/>
          <w:sz w:val="21"/>
          <w:szCs w:val="21"/>
        </w:rPr>
        <w:t>Receipt</w:t>
      </w:r>
      <w:proofErr w:type="spellEnd"/>
      <w:r>
        <w:rPr>
          <w:color w:val="1A1A1A"/>
          <w:sz w:val="21"/>
          <w:szCs w:val="21"/>
        </w:rPr>
        <w:t xml:space="preserve"> ist ein selbstenthaltener Beweis.</w:t>
      </w:r>
    </w:p>
    <w:p w:rsidR="00514E2C" w:rsidRDefault="008A5B8F">
      <w:pPr>
        <w:spacing w:before="80" w:after="140" w:line="340" w:lineRule="auto"/>
        <w:jc w:val="both"/>
      </w:pPr>
      <w:r>
        <w:rPr>
          <w:b/>
          <w:bCs/>
          <w:color w:val="1A1A1A"/>
          <w:sz w:val="21"/>
          <w:szCs w:val="21"/>
        </w:rPr>
        <w:t xml:space="preserve">Ein </w:t>
      </w:r>
      <w:proofErr w:type="spellStart"/>
      <w:r>
        <w:rPr>
          <w:b/>
          <w:bCs/>
          <w:color w:val="1A1A1A"/>
          <w:sz w:val="21"/>
          <w:szCs w:val="21"/>
        </w:rPr>
        <w:t>Receipt</w:t>
      </w:r>
      <w:proofErr w:type="spellEnd"/>
      <w:r>
        <w:rPr>
          <w:b/>
          <w:bCs/>
          <w:color w:val="1A1A1A"/>
          <w:sz w:val="21"/>
          <w:szCs w:val="21"/>
        </w:rPr>
        <w:t xml:space="preserve"> aus 2026 ist mathematisch verifizierbar in 2036, 2046, 2056. Nicht weil wir versprechen, die Server am Laufen zu halten. Weil die Mathematik kein Ablaufdatum hat.</w:t>
      </w:r>
    </w:p>
    <w:p w:rsidR="00514E2C" w:rsidRDefault="008A5B8F">
      <w:pPr>
        <w:spacing w:before="480" w:after="120"/>
      </w:pPr>
      <w:r>
        <w:rPr>
          <w:b/>
          <w:bCs/>
          <w:color w:val="1B2A3B"/>
        </w:rPr>
        <w:t>Teil V: Wie wir mit öffe</w:t>
      </w:r>
      <w:r>
        <w:rPr>
          <w:b/>
          <w:bCs/>
          <w:color w:val="1B2A3B"/>
        </w:rPr>
        <w:t>ntlichen Daten beweisen, dass das System funktioniert</w:t>
      </w:r>
    </w:p>
    <w:p w:rsidR="00514E2C" w:rsidRDefault="008A5B8F">
      <w:pPr>
        <w:spacing w:before="80" w:after="140" w:line="340" w:lineRule="auto"/>
        <w:jc w:val="both"/>
      </w:pPr>
      <w:r>
        <w:rPr>
          <w:color w:val="1A1A1A"/>
          <w:sz w:val="21"/>
          <w:szCs w:val="21"/>
        </w:rPr>
        <w:t xml:space="preserve">Wir sind Compliance-Infrastrukturanbieter. Unsere Kunden sind Banken, Fonds, </w:t>
      </w:r>
      <w:proofErr w:type="spellStart"/>
      <w:r>
        <w:rPr>
          <w:color w:val="1A1A1A"/>
          <w:sz w:val="21"/>
          <w:szCs w:val="21"/>
        </w:rPr>
        <w:t>PropTech</w:t>
      </w:r>
      <w:proofErr w:type="spellEnd"/>
      <w:r>
        <w:rPr>
          <w:color w:val="1A1A1A"/>
          <w:sz w:val="21"/>
          <w:szCs w:val="21"/>
        </w:rPr>
        <w:t>-Plattformen, Notare. Ihre Transaktionsdaten sind vertraulich und das ist richtig so.</w:t>
      </w:r>
    </w:p>
    <w:p w:rsidR="00514E2C" w:rsidRDefault="008A5B8F">
      <w:pPr>
        <w:spacing w:before="80" w:after="140" w:line="340" w:lineRule="auto"/>
        <w:jc w:val="both"/>
      </w:pPr>
      <w:r>
        <w:rPr>
          <w:color w:val="1A1A1A"/>
          <w:sz w:val="21"/>
          <w:szCs w:val="21"/>
        </w:rPr>
        <w:t>Aber die Infrastruktur selbst m</w:t>
      </w:r>
      <w:r>
        <w:rPr>
          <w:color w:val="1A1A1A"/>
          <w:sz w:val="21"/>
          <w:szCs w:val="21"/>
        </w:rPr>
        <w:t>uss beweisbar funktionieren, ohne dass wir Kundendaten offenlegen.</w:t>
      </w:r>
    </w:p>
    <w:p w:rsidR="00514E2C" w:rsidRDefault="008A5B8F">
      <w:pPr>
        <w:spacing w:before="80" w:after="140" w:line="340" w:lineRule="auto"/>
        <w:jc w:val="both"/>
      </w:pPr>
      <w:r>
        <w:rPr>
          <w:color w:val="1A1A1A"/>
          <w:sz w:val="21"/>
          <w:szCs w:val="21"/>
        </w:rPr>
        <w:t>Deshalb generieren und veröffentlichen wir Beweis-</w:t>
      </w:r>
      <w:proofErr w:type="spellStart"/>
      <w:r>
        <w:rPr>
          <w:color w:val="1A1A1A"/>
          <w:sz w:val="21"/>
          <w:szCs w:val="21"/>
        </w:rPr>
        <w:t>Receipts</w:t>
      </w:r>
      <w:proofErr w:type="spellEnd"/>
      <w:r>
        <w:rPr>
          <w:color w:val="1A1A1A"/>
          <w:sz w:val="21"/>
          <w:szCs w:val="21"/>
        </w:rPr>
        <w:t xml:space="preserve"> auf Basis vollständig öffentlicher Daten. Wir verarbeiten öffentlich registrierte Rechtseinheiten aus dem GLEIF-Register, prüfen s</w:t>
      </w:r>
      <w:r>
        <w:rPr>
          <w:color w:val="1A1A1A"/>
          <w:sz w:val="21"/>
          <w:szCs w:val="21"/>
        </w:rPr>
        <w:t xml:space="preserve">ie gegen öffentlich zugängliche Sanktionslisten, wenden öffentlich dokumentierte Rechtsregeln an und produzieren für jede dieser Prüfungen einen vollständigen, kryptographisch signierten </w:t>
      </w:r>
      <w:proofErr w:type="spellStart"/>
      <w:r>
        <w:rPr>
          <w:color w:val="1A1A1A"/>
          <w:sz w:val="21"/>
          <w:szCs w:val="21"/>
        </w:rPr>
        <w:t>Receipt</w:t>
      </w:r>
      <w:proofErr w:type="spellEnd"/>
      <w:r>
        <w:rPr>
          <w:color w:val="1A1A1A"/>
          <w:sz w:val="21"/>
          <w:szCs w:val="21"/>
        </w:rPr>
        <w:t>.</w:t>
      </w:r>
    </w:p>
    <w:p w:rsidR="00514E2C" w:rsidRDefault="008A5B8F">
      <w:pPr>
        <w:spacing w:before="80" w:after="140" w:line="340" w:lineRule="auto"/>
        <w:jc w:val="both"/>
      </w:pPr>
      <w:r>
        <w:rPr>
          <w:color w:val="1A1A1A"/>
          <w:sz w:val="21"/>
          <w:szCs w:val="21"/>
        </w:rPr>
        <w:t xml:space="preserve">Das ist kein Demonstrationssystem. Das ist der Nachweis der </w:t>
      </w:r>
      <w:r>
        <w:rPr>
          <w:color w:val="1A1A1A"/>
          <w:sz w:val="21"/>
          <w:szCs w:val="21"/>
        </w:rPr>
        <w:t>Methode. Der Unterschied ist entscheidend: Wir zeigen nicht, wie das System in einer Laborumgebung aussieht. Wir produzieren echte kryptographische Beweise auf Basis echter öffentlicher Daten, die von jedem unabhängig geprüft werden können.</w:t>
      </w:r>
    </w:p>
    <w:p w:rsidR="00514E2C" w:rsidRDefault="008A5B8F">
      <w:pPr>
        <w:spacing w:before="80" w:after="140" w:line="340" w:lineRule="auto"/>
        <w:jc w:val="both"/>
      </w:pPr>
      <w:r>
        <w:rPr>
          <w:color w:val="1A1A1A"/>
          <w:sz w:val="21"/>
          <w:szCs w:val="21"/>
        </w:rPr>
        <w:t>Unternehmen wie</w:t>
      </w:r>
      <w:r>
        <w:rPr>
          <w:color w:val="1A1A1A"/>
          <w:sz w:val="21"/>
          <w:szCs w:val="21"/>
        </w:rPr>
        <w:t xml:space="preserve"> </w:t>
      </w:r>
      <w:proofErr w:type="spellStart"/>
      <w:r>
        <w:rPr>
          <w:color w:val="1A1A1A"/>
          <w:sz w:val="21"/>
          <w:szCs w:val="21"/>
        </w:rPr>
        <w:t>Wirecard</w:t>
      </w:r>
      <w:proofErr w:type="spellEnd"/>
      <w:r>
        <w:rPr>
          <w:color w:val="1A1A1A"/>
          <w:sz w:val="21"/>
          <w:szCs w:val="21"/>
        </w:rPr>
        <w:t xml:space="preserve"> AG, Unternehmen mit </w:t>
      </w:r>
      <w:proofErr w:type="spellStart"/>
      <w:r>
        <w:rPr>
          <w:color w:val="1A1A1A"/>
          <w:sz w:val="21"/>
          <w:szCs w:val="21"/>
        </w:rPr>
        <w:t>gelapstem</w:t>
      </w:r>
      <w:proofErr w:type="spellEnd"/>
      <w:r>
        <w:rPr>
          <w:color w:val="1A1A1A"/>
          <w:sz w:val="21"/>
          <w:szCs w:val="21"/>
        </w:rPr>
        <w:t xml:space="preserve"> LEI-Status, Unternehmen mit historischen </w:t>
      </w:r>
      <w:proofErr w:type="spellStart"/>
      <w:r>
        <w:rPr>
          <w:color w:val="1A1A1A"/>
          <w:sz w:val="21"/>
          <w:szCs w:val="21"/>
        </w:rPr>
        <w:t>Enforcement</w:t>
      </w:r>
      <w:proofErr w:type="spellEnd"/>
      <w:r>
        <w:rPr>
          <w:color w:val="1A1A1A"/>
          <w:sz w:val="21"/>
          <w:szCs w:val="21"/>
        </w:rPr>
        <w:t xml:space="preserve">-Verfahren — sie alle sind im öffentlichen Register dokumentiert. Unsere Pipeline behandelt sie </w:t>
      </w:r>
      <w:proofErr w:type="spellStart"/>
      <w:r>
        <w:rPr>
          <w:color w:val="1A1A1A"/>
          <w:sz w:val="21"/>
          <w:szCs w:val="21"/>
        </w:rPr>
        <w:t>genau so</w:t>
      </w:r>
      <w:proofErr w:type="spellEnd"/>
      <w:r>
        <w:rPr>
          <w:color w:val="1A1A1A"/>
          <w:sz w:val="21"/>
          <w:szCs w:val="21"/>
        </w:rPr>
        <w:t xml:space="preserve">, wie sie echte Transaktionen behandeln würde. Das Ergebnis </w:t>
      </w:r>
      <w:r>
        <w:rPr>
          <w:color w:val="1A1A1A"/>
          <w:sz w:val="21"/>
          <w:szCs w:val="21"/>
        </w:rPr>
        <w:t xml:space="preserve">ist ein </w:t>
      </w:r>
      <w:proofErr w:type="spellStart"/>
      <w:r>
        <w:rPr>
          <w:color w:val="1A1A1A"/>
          <w:sz w:val="21"/>
          <w:szCs w:val="21"/>
        </w:rPr>
        <w:t>Receipt</w:t>
      </w:r>
      <w:proofErr w:type="spellEnd"/>
      <w:r>
        <w:rPr>
          <w:color w:val="1A1A1A"/>
          <w:sz w:val="21"/>
          <w:szCs w:val="21"/>
        </w:rPr>
        <w:t>, der nicht behauptet, das System funktioniere, sondern es beweist.</w:t>
      </w:r>
    </w:p>
    <w:p w:rsidR="00514E2C" w:rsidRDefault="008A5B8F">
      <w:pPr>
        <w:spacing w:before="480" w:after="120"/>
      </w:pPr>
      <w:r>
        <w:rPr>
          <w:b/>
          <w:bCs/>
          <w:color w:val="1B2A3B"/>
        </w:rPr>
        <w:t>Teil VI: Post-Quantum-Sicherheit und der Zeitplan, den die meisten Institutionen ignorieren</w:t>
      </w:r>
    </w:p>
    <w:p w:rsidR="00514E2C" w:rsidRDefault="008A5B8F">
      <w:pPr>
        <w:spacing w:before="80" w:after="140" w:line="340" w:lineRule="auto"/>
        <w:jc w:val="both"/>
      </w:pPr>
      <w:r>
        <w:rPr>
          <w:color w:val="1A1A1A"/>
          <w:sz w:val="21"/>
          <w:szCs w:val="21"/>
        </w:rPr>
        <w:t xml:space="preserve">Das National Institute </w:t>
      </w:r>
      <w:proofErr w:type="spellStart"/>
      <w:r>
        <w:rPr>
          <w:color w:val="1A1A1A"/>
          <w:sz w:val="21"/>
          <w:szCs w:val="21"/>
        </w:rPr>
        <w:t>of</w:t>
      </w:r>
      <w:proofErr w:type="spellEnd"/>
      <w:r>
        <w:rPr>
          <w:color w:val="1A1A1A"/>
          <w:sz w:val="21"/>
          <w:szCs w:val="21"/>
        </w:rPr>
        <w:t xml:space="preserve"> Standards </w:t>
      </w:r>
      <w:proofErr w:type="spellStart"/>
      <w:r>
        <w:rPr>
          <w:color w:val="1A1A1A"/>
          <w:sz w:val="21"/>
          <w:szCs w:val="21"/>
        </w:rPr>
        <w:t>and</w:t>
      </w:r>
      <w:proofErr w:type="spellEnd"/>
      <w:r>
        <w:rPr>
          <w:color w:val="1A1A1A"/>
          <w:sz w:val="21"/>
          <w:szCs w:val="21"/>
        </w:rPr>
        <w:t xml:space="preserve"> Technology der USA hat 2024 seine Post-Qu</w:t>
      </w:r>
      <w:r>
        <w:rPr>
          <w:color w:val="1A1A1A"/>
          <w:sz w:val="21"/>
          <w:szCs w:val="21"/>
        </w:rPr>
        <w:t>antum-Kryptographie-Standards finalisiert. FIPS 203 für CRYSTALS-</w:t>
      </w:r>
      <w:proofErr w:type="spellStart"/>
      <w:r>
        <w:rPr>
          <w:color w:val="1A1A1A"/>
          <w:sz w:val="21"/>
          <w:szCs w:val="21"/>
        </w:rPr>
        <w:t>Kyber</w:t>
      </w:r>
      <w:proofErr w:type="spellEnd"/>
      <w:r>
        <w:rPr>
          <w:color w:val="1A1A1A"/>
          <w:sz w:val="21"/>
          <w:szCs w:val="21"/>
        </w:rPr>
        <w:t xml:space="preserve"> zur Schlüsseleinkapselung, </w:t>
      </w:r>
      <w:r>
        <w:rPr>
          <w:color w:val="1A1A1A"/>
          <w:sz w:val="21"/>
          <w:szCs w:val="21"/>
        </w:rPr>
        <w:lastRenderedPageBreak/>
        <w:t>FIPS 204 für CRYSTALS-</w:t>
      </w:r>
      <w:proofErr w:type="spellStart"/>
      <w:r>
        <w:rPr>
          <w:color w:val="1A1A1A"/>
          <w:sz w:val="21"/>
          <w:szCs w:val="21"/>
        </w:rPr>
        <w:t>Dilithium</w:t>
      </w:r>
      <w:proofErr w:type="spellEnd"/>
      <w:r>
        <w:rPr>
          <w:color w:val="1A1A1A"/>
          <w:sz w:val="21"/>
          <w:szCs w:val="21"/>
        </w:rPr>
        <w:t xml:space="preserve"> für digitale Signaturen, FIPS 205 für SPHINCS+ als zustandslosen Hash-basierten Algorithmus.</w:t>
      </w:r>
    </w:p>
    <w:p w:rsidR="00514E2C" w:rsidRDefault="008A5B8F">
      <w:pPr>
        <w:spacing w:before="80" w:after="140" w:line="340" w:lineRule="auto"/>
        <w:jc w:val="both"/>
      </w:pPr>
      <w:r>
        <w:rPr>
          <w:color w:val="1A1A1A"/>
          <w:sz w:val="21"/>
          <w:szCs w:val="21"/>
        </w:rPr>
        <w:t xml:space="preserve">Die NIS2-Richtlinie verpflichtet </w:t>
      </w:r>
      <w:r>
        <w:rPr>
          <w:color w:val="1A1A1A"/>
          <w:sz w:val="21"/>
          <w:szCs w:val="21"/>
        </w:rPr>
        <w:t>Mitgliedstaaten und kritische Infrastrukturbetreiber zur Implementierung des Stands der Technik in der Kryptographie. ENISAs Leitlinien aus 2025 benennen Post-Quantum-Bereitschaft explizit als kurzfristige Pflichtanforderung.</w:t>
      </w:r>
    </w:p>
    <w:p w:rsidR="00514E2C" w:rsidRDefault="008A5B8F">
      <w:pPr>
        <w:spacing w:before="80" w:after="140" w:line="340" w:lineRule="auto"/>
        <w:jc w:val="both"/>
      </w:pPr>
      <w:r>
        <w:rPr>
          <w:color w:val="1A1A1A"/>
          <w:sz w:val="21"/>
          <w:szCs w:val="21"/>
        </w:rPr>
        <w:t>Das Bedrohungsmodell heißt „</w:t>
      </w:r>
      <w:proofErr w:type="spellStart"/>
      <w:r>
        <w:rPr>
          <w:color w:val="1A1A1A"/>
          <w:sz w:val="21"/>
          <w:szCs w:val="21"/>
        </w:rPr>
        <w:t>Ha</w:t>
      </w:r>
      <w:r>
        <w:rPr>
          <w:color w:val="1A1A1A"/>
          <w:sz w:val="21"/>
          <w:szCs w:val="21"/>
        </w:rPr>
        <w:t>rvest</w:t>
      </w:r>
      <w:proofErr w:type="spellEnd"/>
      <w:r>
        <w:rPr>
          <w:color w:val="1A1A1A"/>
          <w:sz w:val="21"/>
          <w:szCs w:val="21"/>
        </w:rPr>
        <w:t xml:space="preserve"> </w:t>
      </w:r>
      <w:proofErr w:type="spellStart"/>
      <w:r>
        <w:rPr>
          <w:color w:val="1A1A1A"/>
          <w:sz w:val="21"/>
          <w:szCs w:val="21"/>
        </w:rPr>
        <w:t>Now</w:t>
      </w:r>
      <w:proofErr w:type="spellEnd"/>
      <w:r>
        <w:rPr>
          <w:color w:val="1A1A1A"/>
          <w:sz w:val="21"/>
          <w:szCs w:val="21"/>
        </w:rPr>
        <w:t xml:space="preserve">, </w:t>
      </w:r>
      <w:proofErr w:type="spellStart"/>
      <w:r>
        <w:rPr>
          <w:color w:val="1A1A1A"/>
          <w:sz w:val="21"/>
          <w:szCs w:val="21"/>
        </w:rPr>
        <w:t>Decrypt</w:t>
      </w:r>
      <w:proofErr w:type="spellEnd"/>
      <w:r>
        <w:rPr>
          <w:color w:val="1A1A1A"/>
          <w:sz w:val="21"/>
          <w:szCs w:val="21"/>
        </w:rPr>
        <w:t xml:space="preserve"> </w:t>
      </w:r>
      <w:proofErr w:type="spellStart"/>
      <w:r>
        <w:rPr>
          <w:color w:val="1A1A1A"/>
          <w:sz w:val="21"/>
          <w:szCs w:val="21"/>
        </w:rPr>
        <w:t>Later</w:t>
      </w:r>
      <w:proofErr w:type="spellEnd"/>
      <w:r>
        <w:rPr>
          <w:color w:val="1A1A1A"/>
          <w:sz w:val="21"/>
          <w:szCs w:val="21"/>
        </w:rPr>
        <w:t>“. Staatliche Akteure sammeln heute verschlüsselte Daten mit der Absicht, sie zu entschlüsseln, sobald ausreichend leistungsfähige Quantencomputer verfügbar sind. NIST und führende Geheimdienste schätzen diesen Zeithorizont auf sieb</w:t>
      </w:r>
      <w:r>
        <w:rPr>
          <w:color w:val="1A1A1A"/>
          <w:sz w:val="21"/>
          <w:szCs w:val="21"/>
        </w:rPr>
        <w:t>en bis fünfzehn Jahre.</w:t>
      </w:r>
    </w:p>
    <w:p w:rsidR="00514E2C" w:rsidRDefault="008A5B8F">
      <w:pPr>
        <w:spacing w:before="80" w:after="140" w:line="340" w:lineRule="auto"/>
        <w:jc w:val="both"/>
      </w:pPr>
      <w:r>
        <w:rPr>
          <w:color w:val="1A1A1A"/>
          <w:sz w:val="21"/>
          <w:szCs w:val="21"/>
        </w:rPr>
        <w:t>Das bedeutet: Compliance-Dokumentation, die heute mit RSA-2048 oder Standard-ECDSA-Signaturen erstellt wird, könnte von staatlichen Akteuren innerhalb der operativen Lebensdauer der Dokumente selbst entschlüsselt werden.</w:t>
      </w:r>
    </w:p>
    <w:p w:rsidR="00514E2C" w:rsidRDefault="008A5B8F">
      <w:pPr>
        <w:spacing w:before="80" w:after="140" w:line="340" w:lineRule="auto"/>
        <w:jc w:val="both"/>
      </w:pPr>
      <w:r>
        <w:rPr>
          <w:color w:val="1A1A1A"/>
          <w:sz w:val="21"/>
          <w:szCs w:val="21"/>
        </w:rPr>
        <w:t xml:space="preserve">Die </w:t>
      </w:r>
      <w:proofErr w:type="spellStart"/>
      <w:r>
        <w:rPr>
          <w:color w:val="1A1A1A"/>
          <w:sz w:val="21"/>
          <w:szCs w:val="21"/>
        </w:rPr>
        <w:t>immo.qui</w:t>
      </w:r>
      <w:r>
        <w:rPr>
          <w:color w:val="1A1A1A"/>
          <w:sz w:val="21"/>
          <w:szCs w:val="21"/>
        </w:rPr>
        <w:t>ck</w:t>
      </w:r>
      <w:proofErr w:type="spellEnd"/>
      <w:r>
        <w:rPr>
          <w:color w:val="1A1A1A"/>
          <w:sz w:val="21"/>
          <w:szCs w:val="21"/>
        </w:rPr>
        <w:t>-Architektur integriert CRYSTALS-</w:t>
      </w:r>
      <w:proofErr w:type="spellStart"/>
      <w:r>
        <w:rPr>
          <w:color w:val="1A1A1A"/>
          <w:sz w:val="21"/>
          <w:szCs w:val="21"/>
        </w:rPr>
        <w:t>Kyber</w:t>
      </w:r>
      <w:proofErr w:type="spellEnd"/>
      <w:r>
        <w:rPr>
          <w:color w:val="1A1A1A"/>
          <w:sz w:val="21"/>
          <w:szCs w:val="21"/>
        </w:rPr>
        <w:t xml:space="preserve"> und CRYSTALS-</w:t>
      </w:r>
      <w:proofErr w:type="spellStart"/>
      <w:r>
        <w:rPr>
          <w:color w:val="1A1A1A"/>
          <w:sz w:val="21"/>
          <w:szCs w:val="21"/>
        </w:rPr>
        <w:t>Dilithium</w:t>
      </w:r>
      <w:proofErr w:type="spellEnd"/>
      <w:r>
        <w:rPr>
          <w:color w:val="1A1A1A"/>
          <w:sz w:val="21"/>
          <w:szCs w:val="21"/>
        </w:rPr>
        <w:t xml:space="preserve"> parallel zur klassischen HMAC-SHA256-Kette. Hybride Absicherung bedeutet: Ein Angreifer muss beide Algorithmen gleichzeitig brechen. Wir sind nicht nur heute sicher. Wir sind bereits jetzt geg</w:t>
      </w:r>
      <w:r>
        <w:rPr>
          <w:color w:val="1A1A1A"/>
          <w:sz w:val="21"/>
          <w:szCs w:val="21"/>
        </w:rPr>
        <w:t xml:space="preserve">en die Entschlüsselung durch zukünftige Quantencomputer </w:t>
      </w:r>
      <w:proofErr w:type="spellStart"/>
      <w:r>
        <w:rPr>
          <w:color w:val="1A1A1A"/>
          <w:sz w:val="21"/>
          <w:szCs w:val="21"/>
        </w:rPr>
        <w:t>gewäppnet</w:t>
      </w:r>
      <w:proofErr w:type="spellEnd"/>
      <w:r>
        <w:rPr>
          <w:color w:val="1A1A1A"/>
          <w:sz w:val="21"/>
          <w:szCs w:val="21"/>
        </w:rPr>
        <w:t>.</w:t>
      </w:r>
    </w:p>
    <w:p w:rsidR="00514E2C" w:rsidRDefault="008A5B8F">
      <w:pPr>
        <w:spacing w:before="80" w:after="140" w:line="340" w:lineRule="auto"/>
        <w:jc w:val="both"/>
      </w:pPr>
      <w:r>
        <w:rPr>
          <w:color w:val="1A1A1A"/>
          <w:sz w:val="21"/>
          <w:szCs w:val="21"/>
        </w:rPr>
        <w:t>Wir fordern ENISA und das BSI auf, Post-Quantum-Hybrid-Signaturen als verbindliche Anforderung für regulierte Compliance-Dokumentation festzuschreiben, mit einem klaren und durchsetzbaren Z</w:t>
      </w:r>
      <w:r>
        <w:rPr>
          <w:color w:val="1A1A1A"/>
          <w:sz w:val="21"/>
          <w:szCs w:val="21"/>
        </w:rPr>
        <w:t>eitplan.</w:t>
      </w:r>
    </w:p>
    <w:p w:rsidR="00514E2C" w:rsidRDefault="008A5B8F">
      <w:r>
        <w:br w:type="page"/>
      </w:r>
    </w:p>
    <w:p w:rsidR="00514E2C" w:rsidRDefault="008A5B8F">
      <w:pPr>
        <w:spacing w:before="480" w:after="120"/>
      </w:pPr>
      <w:r>
        <w:rPr>
          <w:b/>
          <w:bCs/>
          <w:color w:val="1B2A3B"/>
        </w:rPr>
        <w:lastRenderedPageBreak/>
        <w:t xml:space="preserve">Teil VII: Haftungsbefreiung und was </w:t>
      </w:r>
      <w:proofErr w:type="spellStart"/>
      <w:r>
        <w:rPr>
          <w:b/>
          <w:bCs/>
          <w:color w:val="1B2A3B"/>
        </w:rPr>
        <w:t>Receipts</w:t>
      </w:r>
      <w:proofErr w:type="spellEnd"/>
      <w:r>
        <w:rPr>
          <w:b/>
          <w:bCs/>
          <w:color w:val="1B2A3B"/>
        </w:rPr>
        <w:t xml:space="preserve"> damit zu tun haben</w:t>
      </w:r>
    </w:p>
    <w:p w:rsidR="00514E2C" w:rsidRDefault="008A5B8F">
      <w:pPr>
        <w:spacing w:before="80" w:after="140" w:line="340" w:lineRule="auto"/>
        <w:jc w:val="both"/>
      </w:pPr>
      <w:r>
        <w:rPr>
          <w:color w:val="1A1A1A"/>
          <w:sz w:val="21"/>
          <w:szCs w:val="21"/>
        </w:rPr>
        <w:t>§25b des deutschen Kreditwesengesetzes begründet das Prinzip, dass ein Finanzinstitut, das angemessene Prozesse, technische Systeme und Kontrollen zur Identifikation, Bewertung und Minderung von Compliance-Risiken implementiert hat, seiner organisatorische</w:t>
      </w:r>
      <w:r>
        <w:rPr>
          <w:color w:val="1A1A1A"/>
          <w:sz w:val="21"/>
          <w:szCs w:val="21"/>
        </w:rPr>
        <w:t>n Sorgfaltspflicht nachgekommen ist.</w:t>
      </w:r>
    </w:p>
    <w:p w:rsidR="00514E2C" w:rsidRDefault="008A5B8F">
      <w:pPr>
        <w:spacing w:before="80" w:after="140" w:line="340" w:lineRule="auto"/>
        <w:jc w:val="both"/>
      </w:pPr>
      <w:r>
        <w:rPr>
          <w:color w:val="1A1A1A"/>
          <w:sz w:val="21"/>
          <w:szCs w:val="21"/>
        </w:rPr>
        <w:t xml:space="preserve">DORA Artikel 17 legt fest, dass Institutionen technisch nachweisen können müssen, dass sie zum Zeitpunkt eines Vorfalls über angemessene operative </w:t>
      </w:r>
      <w:proofErr w:type="spellStart"/>
      <w:r>
        <w:rPr>
          <w:color w:val="1A1A1A"/>
          <w:sz w:val="21"/>
          <w:szCs w:val="21"/>
        </w:rPr>
        <w:t>Resilienzmaßnahmen</w:t>
      </w:r>
      <w:proofErr w:type="spellEnd"/>
      <w:r>
        <w:rPr>
          <w:color w:val="1A1A1A"/>
          <w:sz w:val="21"/>
          <w:szCs w:val="21"/>
        </w:rPr>
        <w:t xml:space="preserve"> verfügten.</w:t>
      </w:r>
    </w:p>
    <w:p w:rsidR="00514E2C" w:rsidRDefault="008A5B8F">
      <w:pPr>
        <w:spacing w:before="80" w:after="140" w:line="340" w:lineRule="auto"/>
        <w:jc w:val="both"/>
      </w:pPr>
      <w:r>
        <w:rPr>
          <w:color w:val="1A1A1A"/>
          <w:sz w:val="21"/>
          <w:szCs w:val="21"/>
        </w:rPr>
        <w:t>Das EU AI Act verlangt in seinen Bestimmun</w:t>
      </w:r>
      <w:r>
        <w:rPr>
          <w:color w:val="1A1A1A"/>
          <w:sz w:val="21"/>
          <w:szCs w:val="21"/>
        </w:rPr>
        <w:t>gen zu Hochrisiko-Systemen dokumentierte Nachweise, dass menschliche Aufsichtsmechanismen operativ waren und Risikomanagementprozesse technisch implementiert waren.</w:t>
      </w:r>
    </w:p>
    <w:p w:rsidR="00514E2C" w:rsidRDefault="008A5B8F">
      <w:pPr>
        <w:spacing w:before="80" w:after="140" w:line="340" w:lineRule="auto"/>
        <w:jc w:val="both"/>
      </w:pPr>
      <w:r>
        <w:rPr>
          <w:color w:val="1A1A1A"/>
          <w:sz w:val="21"/>
          <w:szCs w:val="21"/>
        </w:rPr>
        <w:t>In allen drei Regelwerken ist der gemeinsame Nenner dieser: Die Institution muss technische</w:t>
      </w:r>
      <w:r>
        <w:rPr>
          <w:color w:val="1A1A1A"/>
          <w:sz w:val="21"/>
          <w:szCs w:val="21"/>
        </w:rPr>
        <w:t xml:space="preserve"> Nachweise produzieren können, keine Behauptungen, über Compliance zum Zeitpunkt der relevanten Handlung.</w:t>
      </w:r>
    </w:p>
    <w:p w:rsidR="00514E2C" w:rsidRDefault="008A5B8F">
      <w:pPr>
        <w:spacing w:before="80" w:after="140" w:line="340" w:lineRule="auto"/>
        <w:jc w:val="both"/>
      </w:pPr>
      <w:r>
        <w:rPr>
          <w:color w:val="1A1A1A"/>
          <w:sz w:val="21"/>
          <w:szCs w:val="21"/>
        </w:rPr>
        <w:t xml:space="preserve">Wenn eine Bank einen </w:t>
      </w:r>
      <w:proofErr w:type="spellStart"/>
      <w:r>
        <w:rPr>
          <w:color w:val="1A1A1A"/>
          <w:sz w:val="21"/>
          <w:szCs w:val="21"/>
        </w:rPr>
        <w:t>Receipt</w:t>
      </w:r>
      <w:proofErr w:type="spellEnd"/>
      <w:r>
        <w:rPr>
          <w:color w:val="1A1A1A"/>
          <w:sz w:val="21"/>
          <w:szCs w:val="21"/>
        </w:rPr>
        <w:t xml:space="preserve"> vorlegen kann, der einen TAI64N-Zeitstempel trägt, eine HMAC-SHA256-Signatur, eine versionsgesperrte Referenz auf die exa</w:t>
      </w:r>
      <w:r>
        <w:rPr>
          <w:color w:val="1A1A1A"/>
          <w:sz w:val="21"/>
          <w:szCs w:val="21"/>
        </w:rPr>
        <w:t>kt angewendeten Rechtsregeln und einen Merkle-Chain-Link, der beweist, dass der Datensatz seit dem Moment seiner Entstehung nicht verändert wurde, dann hat diese Bank die Anforderung an technische Nachweise aus §25b KWG, DORA Artikel 17 und den Dokumentati</w:t>
      </w:r>
      <w:r>
        <w:rPr>
          <w:color w:val="1A1A1A"/>
          <w:sz w:val="21"/>
          <w:szCs w:val="21"/>
        </w:rPr>
        <w:t>onspflichten des EU AI Act gleichzeitig erfüllt.</w:t>
      </w:r>
    </w:p>
    <w:p w:rsidR="00514E2C" w:rsidRDefault="008A5B8F">
      <w:pPr>
        <w:spacing w:before="80" w:after="140" w:line="340" w:lineRule="auto"/>
        <w:jc w:val="both"/>
      </w:pPr>
      <w:r>
        <w:rPr>
          <w:color w:val="1A1A1A"/>
          <w:sz w:val="21"/>
          <w:szCs w:val="21"/>
        </w:rPr>
        <w:t xml:space="preserve">Der Compliance-Officer, der diesen </w:t>
      </w:r>
      <w:proofErr w:type="spellStart"/>
      <w:r>
        <w:rPr>
          <w:color w:val="1A1A1A"/>
          <w:sz w:val="21"/>
          <w:szCs w:val="21"/>
        </w:rPr>
        <w:t>Receipt</w:t>
      </w:r>
      <w:proofErr w:type="spellEnd"/>
      <w:r>
        <w:rPr>
          <w:color w:val="1A1A1A"/>
          <w:sz w:val="21"/>
          <w:szCs w:val="21"/>
        </w:rPr>
        <w:t xml:space="preserve"> einem BaFin-Prüfer vorlegt, argumentiert nicht, dass seine Institution versucht hat zu entsprechen. Er beweist mathematisch, dass sie es getan hat. Die Beweislast verschiebt sich. Die Haftungsexposition bricht zus</w:t>
      </w:r>
      <w:r>
        <w:rPr>
          <w:color w:val="1A1A1A"/>
          <w:sz w:val="21"/>
          <w:szCs w:val="21"/>
        </w:rPr>
        <w:t>ammen.</w:t>
      </w:r>
    </w:p>
    <w:p w:rsidR="00514E2C" w:rsidRDefault="008A5B8F">
      <w:pPr>
        <w:spacing w:before="80" w:after="140" w:line="340" w:lineRule="auto"/>
        <w:jc w:val="both"/>
      </w:pPr>
      <w:r>
        <w:rPr>
          <w:b/>
          <w:bCs/>
          <w:color w:val="1A1A1A"/>
          <w:sz w:val="21"/>
          <w:szCs w:val="21"/>
        </w:rPr>
        <w:t xml:space="preserve">Ein </w:t>
      </w:r>
      <w:proofErr w:type="spellStart"/>
      <w:r>
        <w:rPr>
          <w:b/>
          <w:bCs/>
          <w:color w:val="1A1A1A"/>
          <w:sz w:val="21"/>
          <w:szCs w:val="21"/>
        </w:rPr>
        <w:t>Receipt</w:t>
      </w:r>
      <w:proofErr w:type="spellEnd"/>
      <w:r>
        <w:rPr>
          <w:b/>
          <w:bCs/>
          <w:color w:val="1A1A1A"/>
          <w:sz w:val="21"/>
          <w:szCs w:val="21"/>
        </w:rPr>
        <w:t xml:space="preserve"> ist keine Dokumentation. Er ist Exkulpation. Und der Unterschied, in einem ernsthaften Durchsetzungsverfahren, wird in Hunderten von Millionen Euro und Karrieren gemessen.</w:t>
      </w:r>
    </w:p>
    <w:p w:rsidR="00514E2C" w:rsidRDefault="008A5B8F">
      <w:pPr>
        <w:spacing w:before="480" w:after="120"/>
      </w:pPr>
      <w:r>
        <w:rPr>
          <w:b/>
          <w:bCs/>
          <w:color w:val="1B2A3B"/>
        </w:rPr>
        <w:t>Teil VIII: Was das für den europäischen Mittelstand bedeutet</w:t>
      </w:r>
    </w:p>
    <w:p w:rsidR="00514E2C" w:rsidRDefault="008A5B8F">
      <w:pPr>
        <w:spacing w:before="80" w:after="140" w:line="340" w:lineRule="auto"/>
        <w:jc w:val="both"/>
      </w:pPr>
      <w:r>
        <w:rPr>
          <w:color w:val="1A1A1A"/>
          <w:sz w:val="21"/>
          <w:szCs w:val="21"/>
        </w:rPr>
        <w:t xml:space="preserve">Der </w:t>
      </w:r>
      <w:r>
        <w:rPr>
          <w:color w:val="1A1A1A"/>
          <w:sz w:val="21"/>
          <w:szCs w:val="21"/>
        </w:rPr>
        <w:t>europäische Mittelstand betritt ein regulatorisches Umfeld, das mit großen Finanzinstitutionen im Hinterkopf entworfen wurde, aber für jedes Unternehmen oberhalb bestimmter Transaktionsschwellen gilt.</w:t>
      </w:r>
    </w:p>
    <w:p w:rsidR="00514E2C" w:rsidRDefault="008A5B8F">
      <w:pPr>
        <w:spacing w:before="80" w:after="140" w:line="340" w:lineRule="auto"/>
        <w:jc w:val="both"/>
      </w:pPr>
      <w:r>
        <w:rPr>
          <w:color w:val="1A1A1A"/>
          <w:sz w:val="21"/>
          <w:szCs w:val="21"/>
        </w:rPr>
        <w:t>Ein mittelgroßer deutscher Immobilienfonds mit zweihund</w:t>
      </w:r>
      <w:r>
        <w:rPr>
          <w:color w:val="1A1A1A"/>
          <w:sz w:val="21"/>
          <w:szCs w:val="21"/>
        </w:rPr>
        <w:t xml:space="preserve">ert Transaktionen pro Jahr kann sich nicht die Compliance-Infrastruktur leisten, über die die Deutsche Bank verfügt. Aber unter DORA, </w:t>
      </w:r>
      <w:proofErr w:type="spellStart"/>
      <w:r>
        <w:rPr>
          <w:color w:val="1A1A1A"/>
          <w:sz w:val="21"/>
          <w:szCs w:val="21"/>
        </w:rPr>
        <w:t>GwG</w:t>
      </w:r>
      <w:proofErr w:type="spellEnd"/>
      <w:r>
        <w:rPr>
          <w:color w:val="1A1A1A"/>
          <w:sz w:val="21"/>
          <w:szCs w:val="21"/>
        </w:rPr>
        <w:t>, AMLD6 und EU AI Act unterliegt er denselben Dokumentationspflichten.</w:t>
      </w:r>
    </w:p>
    <w:p w:rsidR="00514E2C" w:rsidRDefault="008A5B8F">
      <w:pPr>
        <w:spacing w:before="80" w:after="140" w:line="340" w:lineRule="auto"/>
        <w:jc w:val="both"/>
      </w:pPr>
      <w:r>
        <w:rPr>
          <w:color w:val="1A1A1A"/>
          <w:sz w:val="21"/>
          <w:szCs w:val="21"/>
        </w:rPr>
        <w:t xml:space="preserve">Die Kosten-Asymmetrie ist enorm und sie wächst. </w:t>
      </w:r>
      <w:r>
        <w:rPr>
          <w:color w:val="1A1A1A"/>
          <w:sz w:val="21"/>
          <w:szCs w:val="21"/>
        </w:rPr>
        <w:t xml:space="preserve">Große Institutionen können die Kosten für interne Compliance-Funktionen absorbieren. Kleine und mittlere Unternehmen können das nicht. Das Ergebnis ist kein </w:t>
      </w:r>
      <w:proofErr w:type="spellStart"/>
      <w:r>
        <w:rPr>
          <w:color w:val="1A1A1A"/>
          <w:sz w:val="21"/>
          <w:szCs w:val="21"/>
        </w:rPr>
        <w:t>level</w:t>
      </w:r>
      <w:proofErr w:type="spellEnd"/>
      <w:r>
        <w:rPr>
          <w:color w:val="1A1A1A"/>
          <w:sz w:val="21"/>
          <w:szCs w:val="21"/>
        </w:rPr>
        <w:t xml:space="preserve"> </w:t>
      </w:r>
      <w:proofErr w:type="spellStart"/>
      <w:r>
        <w:rPr>
          <w:color w:val="1A1A1A"/>
          <w:sz w:val="21"/>
          <w:szCs w:val="21"/>
        </w:rPr>
        <w:t>playing</w:t>
      </w:r>
      <w:proofErr w:type="spellEnd"/>
      <w:r>
        <w:rPr>
          <w:color w:val="1A1A1A"/>
          <w:sz w:val="21"/>
          <w:szCs w:val="21"/>
        </w:rPr>
        <w:t xml:space="preserve"> </w:t>
      </w:r>
      <w:proofErr w:type="spellStart"/>
      <w:r>
        <w:rPr>
          <w:color w:val="1A1A1A"/>
          <w:sz w:val="21"/>
          <w:szCs w:val="21"/>
        </w:rPr>
        <w:t>field</w:t>
      </w:r>
      <w:proofErr w:type="spellEnd"/>
      <w:r>
        <w:rPr>
          <w:color w:val="1A1A1A"/>
          <w:sz w:val="21"/>
          <w:szCs w:val="21"/>
        </w:rPr>
        <w:t xml:space="preserve">. Es ist ein regulatorisches Umfeld, das systematisch große </w:t>
      </w:r>
      <w:proofErr w:type="spellStart"/>
      <w:r>
        <w:rPr>
          <w:color w:val="1A1A1A"/>
          <w:sz w:val="21"/>
          <w:szCs w:val="21"/>
        </w:rPr>
        <w:t>Incumbents</w:t>
      </w:r>
      <w:proofErr w:type="spellEnd"/>
      <w:r>
        <w:rPr>
          <w:color w:val="1A1A1A"/>
          <w:sz w:val="21"/>
          <w:szCs w:val="21"/>
        </w:rPr>
        <w:t xml:space="preserve"> bevorzugt</w:t>
      </w:r>
      <w:r>
        <w:rPr>
          <w:color w:val="1A1A1A"/>
          <w:sz w:val="21"/>
          <w:szCs w:val="21"/>
        </w:rPr>
        <w:t xml:space="preserve"> und für kleinere Marktteilnehmer existenzielle Risiken schafft.</w:t>
      </w:r>
    </w:p>
    <w:p w:rsidR="00514E2C" w:rsidRDefault="008A5B8F">
      <w:pPr>
        <w:spacing w:before="80" w:after="140" w:line="340" w:lineRule="auto"/>
        <w:jc w:val="both"/>
      </w:pPr>
      <w:r>
        <w:rPr>
          <w:color w:val="1A1A1A"/>
          <w:sz w:val="21"/>
          <w:szCs w:val="21"/>
        </w:rPr>
        <w:lastRenderedPageBreak/>
        <w:t>Ein transaktionsbasiertes Infrastrukturmodell zu EUR 0,12 pro vollständiger Sieben-Gate-Compliance-Prüfung verändert diese Gleichung grundlegend. Ein Mittelstandsfonds mit zweihundert Jahrest</w:t>
      </w:r>
      <w:r>
        <w:rPr>
          <w:color w:val="1A1A1A"/>
          <w:sz w:val="21"/>
          <w:szCs w:val="21"/>
        </w:rPr>
        <w:t>ransaktionen gibt vierundzwanzig Euro pro Jahr für technisch verifizierbaren, gerichtsfesten Compliance-Nachweis aus — statt vierhunderttausend Euro für eine interne Compliance-Funktion, die ihre erste ernsthafte Regulierungsprüfung zu vierzig Prozent nich</w:t>
      </w:r>
      <w:r>
        <w:rPr>
          <w:color w:val="1A1A1A"/>
          <w:sz w:val="21"/>
          <w:szCs w:val="21"/>
        </w:rPr>
        <w:t>t besteht.</w:t>
      </w:r>
    </w:p>
    <w:p w:rsidR="00514E2C" w:rsidRDefault="008A5B8F">
      <w:pPr>
        <w:spacing w:before="80" w:after="140" w:line="340" w:lineRule="auto"/>
        <w:jc w:val="both"/>
      </w:pPr>
      <w:r>
        <w:rPr>
          <w:color w:val="1A1A1A"/>
          <w:sz w:val="21"/>
          <w:szCs w:val="21"/>
        </w:rPr>
        <w:t>Das ist keine marginale Verbesserung. Es ist eine strukturelle Transformation der Frage, wer in regulierten Märkten mit echtem rechtlichem Schutz operieren kann.</w:t>
      </w:r>
    </w:p>
    <w:p w:rsidR="00514E2C" w:rsidRDefault="008A5B8F">
      <w:pPr>
        <w:spacing w:before="80" w:after="140" w:line="340" w:lineRule="auto"/>
        <w:jc w:val="both"/>
      </w:pPr>
      <w:r>
        <w:rPr>
          <w:color w:val="1A1A1A"/>
          <w:sz w:val="21"/>
          <w:szCs w:val="21"/>
        </w:rPr>
        <w:t>Wir fordern die Europäische Kommission auf, die Kosten-Asymmetrie zwischen Großinst</w:t>
      </w:r>
      <w:r>
        <w:rPr>
          <w:color w:val="1A1A1A"/>
          <w:sz w:val="21"/>
          <w:szCs w:val="21"/>
        </w:rPr>
        <w:t>itutionen und Mittelstand als Marktversagen zu behandeln, das Regulierung beheben, nicht vertiefen muss.</w:t>
      </w:r>
    </w:p>
    <w:p w:rsidR="00514E2C" w:rsidRDefault="008A5B8F">
      <w:pPr>
        <w:spacing w:before="480" w:after="120"/>
      </w:pPr>
      <w:r>
        <w:rPr>
          <w:b/>
          <w:bCs/>
          <w:color w:val="1B2A3B"/>
        </w:rPr>
        <w:t>Teil IX: Die geopolitische Dimension</w:t>
      </w:r>
    </w:p>
    <w:p w:rsidR="00514E2C" w:rsidRDefault="008A5B8F">
      <w:pPr>
        <w:spacing w:before="80" w:after="140" w:line="340" w:lineRule="auto"/>
        <w:jc w:val="both"/>
      </w:pPr>
      <w:r>
        <w:rPr>
          <w:color w:val="1A1A1A"/>
          <w:sz w:val="21"/>
          <w:szCs w:val="21"/>
        </w:rPr>
        <w:t>In einem geopolitischen Umfeld, in dem die transatlantischen Beziehungen unter Druck stehen, in dem der US CLOUD A</w:t>
      </w:r>
      <w:r>
        <w:rPr>
          <w:color w:val="1A1A1A"/>
          <w:sz w:val="21"/>
          <w:szCs w:val="21"/>
        </w:rPr>
        <w:t>ct strukturelle Exposition für europäische Institutionen schafft, und in dem europäische digitale Souveränität zunehmend als strategische Notwendigkeit erkannt wird, ist eine Architektur, die Souveränität mathematisch erzwingt statt vertraglich verspricht,</w:t>
      </w:r>
      <w:r>
        <w:rPr>
          <w:color w:val="1A1A1A"/>
          <w:sz w:val="21"/>
          <w:szCs w:val="21"/>
        </w:rPr>
        <w:t xml:space="preserve"> kein Nice-</w:t>
      </w:r>
      <w:proofErr w:type="spellStart"/>
      <w:r>
        <w:rPr>
          <w:color w:val="1A1A1A"/>
          <w:sz w:val="21"/>
          <w:szCs w:val="21"/>
        </w:rPr>
        <w:t>to</w:t>
      </w:r>
      <w:proofErr w:type="spellEnd"/>
      <w:r>
        <w:rPr>
          <w:color w:val="1A1A1A"/>
          <w:sz w:val="21"/>
          <w:szCs w:val="21"/>
        </w:rPr>
        <w:t>-</w:t>
      </w:r>
      <w:proofErr w:type="spellStart"/>
      <w:r>
        <w:rPr>
          <w:color w:val="1A1A1A"/>
          <w:sz w:val="21"/>
          <w:szCs w:val="21"/>
        </w:rPr>
        <w:t>have</w:t>
      </w:r>
      <w:proofErr w:type="spellEnd"/>
      <w:r>
        <w:rPr>
          <w:color w:val="1A1A1A"/>
          <w:sz w:val="21"/>
          <w:szCs w:val="21"/>
        </w:rPr>
        <w:t>. Es ist ein strategisches Infrastrukturerfordernis.</w:t>
      </w:r>
    </w:p>
    <w:p w:rsidR="00514E2C" w:rsidRDefault="008A5B8F">
      <w:pPr>
        <w:spacing w:before="80" w:after="140" w:line="340" w:lineRule="auto"/>
        <w:jc w:val="both"/>
      </w:pPr>
      <w:r>
        <w:rPr>
          <w:color w:val="1A1A1A"/>
          <w:sz w:val="21"/>
          <w:szCs w:val="21"/>
        </w:rPr>
        <w:t>China investiert massiv in souveräne digitale Compliance-Infrastruktur. Die USA haben mit FIPS 203, 204, 205 klare Post-Quantum-Standards gesetzt und beginnen, deren Implementierung zur</w:t>
      </w:r>
      <w:r>
        <w:rPr>
          <w:color w:val="1A1A1A"/>
          <w:sz w:val="21"/>
          <w:szCs w:val="21"/>
        </w:rPr>
        <w:t xml:space="preserve"> Bedingung für regulierten Marktzugang zu machen. Europa diskutiert noch.</w:t>
      </w:r>
    </w:p>
    <w:p w:rsidR="00514E2C" w:rsidRDefault="008A5B8F">
      <w:pPr>
        <w:spacing w:before="80" w:after="140" w:line="340" w:lineRule="auto"/>
        <w:jc w:val="both"/>
      </w:pPr>
      <w:r>
        <w:rPr>
          <w:color w:val="1A1A1A"/>
          <w:sz w:val="21"/>
          <w:szCs w:val="21"/>
        </w:rPr>
        <w:t xml:space="preserve">Jedes Quartal ohne europäischen Standard für </w:t>
      </w:r>
      <w:proofErr w:type="spellStart"/>
      <w:r>
        <w:rPr>
          <w:color w:val="1A1A1A"/>
          <w:sz w:val="21"/>
          <w:szCs w:val="21"/>
        </w:rPr>
        <w:t>Institutional</w:t>
      </w:r>
      <w:proofErr w:type="spellEnd"/>
      <w:r>
        <w:rPr>
          <w:color w:val="1A1A1A"/>
          <w:sz w:val="21"/>
          <w:szCs w:val="21"/>
        </w:rPr>
        <w:t xml:space="preserve"> Trust Infrastructure ist ein Quartal, in dem europäische Institutionen tiefer in Infrastrukturabhängigkeiten hineinwachsen,</w:t>
      </w:r>
      <w:r>
        <w:rPr>
          <w:color w:val="1A1A1A"/>
          <w:sz w:val="21"/>
          <w:szCs w:val="21"/>
        </w:rPr>
        <w:t xml:space="preserve"> die politisch konditioniert sind. Die Wechselkosten steigen nicht linear. Sie steigen exponentiell, weil Compliance-Ketten rückwärts nicht unterbrochen werden können, ohne neue Haftungsrisiken zu erzeugen.</w:t>
      </w:r>
    </w:p>
    <w:p w:rsidR="00514E2C" w:rsidRDefault="008A5B8F">
      <w:pPr>
        <w:spacing w:before="80" w:after="140" w:line="340" w:lineRule="auto"/>
        <w:jc w:val="both"/>
      </w:pPr>
      <w:r>
        <w:rPr>
          <w:color w:val="1A1A1A"/>
          <w:sz w:val="21"/>
          <w:szCs w:val="21"/>
        </w:rPr>
        <w:t>Europäische Technologie, gebaut in Europa, betrie</w:t>
      </w:r>
      <w:r>
        <w:rPr>
          <w:color w:val="1A1A1A"/>
          <w:sz w:val="21"/>
          <w:szCs w:val="21"/>
        </w:rPr>
        <w:t>ben von europäischen Unternehmen unter europäischem Recht, geprüft von europäischen Regulatoren, schützend gegen exterritoriale rechtliche Reichweite. Das ist keine ideologische Aussage. Es ist eine Beschreibung dessen, was Infrastruktursouveränität in der</w:t>
      </w:r>
      <w:r>
        <w:rPr>
          <w:color w:val="1A1A1A"/>
          <w:sz w:val="21"/>
          <w:szCs w:val="21"/>
        </w:rPr>
        <w:t xml:space="preserve"> Praxis erfordert.</w:t>
      </w:r>
    </w:p>
    <w:p w:rsidR="00514E2C" w:rsidRDefault="008A5B8F">
      <w:pPr>
        <w:spacing w:before="480" w:after="120"/>
      </w:pPr>
      <w:r>
        <w:rPr>
          <w:b/>
          <w:bCs/>
          <w:color w:val="1B2A3B"/>
        </w:rPr>
        <w:t>Teil X: Die Standardisierung muss beschleunigt werden</w:t>
      </w:r>
    </w:p>
    <w:p w:rsidR="00514E2C" w:rsidRDefault="008A5B8F">
      <w:pPr>
        <w:spacing w:before="80" w:after="140" w:line="340" w:lineRule="auto"/>
        <w:jc w:val="both"/>
      </w:pPr>
      <w:r>
        <w:rPr>
          <w:color w:val="1A1A1A"/>
          <w:sz w:val="21"/>
          <w:szCs w:val="21"/>
        </w:rPr>
        <w:t xml:space="preserve">Die Standardisierung kryptographischer Compliance-Nachweise innerhalb Deutschlands und der EU ist ein langwieriges Unterfangen. Normierungsprozesse im DIN, CEN und ETSI dauern Jahre. </w:t>
      </w:r>
      <w:r>
        <w:rPr>
          <w:color w:val="1A1A1A"/>
          <w:sz w:val="21"/>
          <w:szCs w:val="21"/>
        </w:rPr>
        <w:t>Abstimmungen zwischen BSI, BaFin, ENISA und nationalen Aufsichtsbehörden dauern Jahre. Politische Konsensprozesse zwischen Mitgliedstaaten dauern Jahre.</w:t>
      </w:r>
    </w:p>
    <w:p w:rsidR="00514E2C" w:rsidRDefault="008A5B8F">
      <w:pPr>
        <w:spacing w:before="80" w:after="140" w:line="340" w:lineRule="auto"/>
        <w:jc w:val="both"/>
      </w:pPr>
      <w:r>
        <w:rPr>
          <w:color w:val="1A1A1A"/>
          <w:sz w:val="21"/>
          <w:szCs w:val="21"/>
        </w:rPr>
        <w:t>Diese Zeitrahmen sind nicht kompatibel mit dem regulatorischen Vollzug, der bereits läuft.</w:t>
      </w:r>
    </w:p>
    <w:p w:rsidR="00514E2C" w:rsidRDefault="008A5B8F">
      <w:pPr>
        <w:spacing w:before="80" w:after="140" w:line="340" w:lineRule="auto"/>
        <w:jc w:val="both"/>
      </w:pPr>
      <w:r>
        <w:rPr>
          <w:color w:val="1A1A1A"/>
          <w:sz w:val="21"/>
          <w:szCs w:val="21"/>
        </w:rPr>
        <w:lastRenderedPageBreak/>
        <w:t>DORA-</w:t>
      </w:r>
      <w:proofErr w:type="spellStart"/>
      <w:r>
        <w:rPr>
          <w:color w:val="1A1A1A"/>
          <w:sz w:val="21"/>
          <w:szCs w:val="21"/>
        </w:rPr>
        <w:t>Enforce</w:t>
      </w:r>
      <w:r>
        <w:rPr>
          <w:color w:val="1A1A1A"/>
          <w:sz w:val="21"/>
          <w:szCs w:val="21"/>
        </w:rPr>
        <w:t>ment</w:t>
      </w:r>
      <w:proofErr w:type="spellEnd"/>
      <w:r>
        <w:rPr>
          <w:color w:val="1A1A1A"/>
          <w:sz w:val="21"/>
          <w:szCs w:val="21"/>
        </w:rPr>
        <w:t xml:space="preserve"> hat im Januar 2025 begonnen. Die erste Welle ernsthafter KI-Act-Prüfungen wird innerhalb von achtzehn Monaten einsetzen. NIS2-Transpositionsfristen sind abgelaufen. Institutionen werden heute geprüft, nach Standards, die nicht auf einer technischen In</w:t>
      </w:r>
      <w:r>
        <w:rPr>
          <w:color w:val="1A1A1A"/>
          <w:sz w:val="21"/>
          <w:szCs w:val="21"/>
        </w:rPr>
        <w:t>frastruktur basieren, die als Referenz existiert.</w:t>
      </w:r>
    </w:p>
    <w:p w:rsidR="00514E2C" w:rsidRDefault="008A5B8F">
      <w:pPr>
        <w:spacing w:before="80" w:after="140" w:line="340" w:lineRule="auto"/>
        <w:jc w:val="both"/>
      </w:pPr>
      <w:r>
        <w:rPr>
          <w:color w:val="1A1A1A"/>
          <w:sz w:val="21"/>
          <w:szCs w:val="21"/>
        </w:rPr>
        <w:t>Das Ergebnis ist absehbar: Institutionen werden für Defizite bestraft, für die sie keine technisch adäquate Lösung vorfinden konnten, weil die Standards nicht klar genug definiert waren und die verfügbare I</w:t>
      </w:r>
      <w:r>
        <w:rPr>
          <w:color w:val="1A1A1A"/>
          <w:sz w:val="21"/>
          <w:szCs w:val="21"/>
        </w:rPr>
        <w:t>nfrastruktur nicht dem regulatorischen Anspruch entsprach.</w:t>
      </w:r>
    </w:p>
    <w:p w:rsidR="00514E2C" w:rsidRDefault="008A5B8F">
      <w:pPr>
        <w:spacing w:before="80" w:after="140" w:line="340" w:lineRule="auto"/>
        <w:jc w:val="both"/>
      </w:pPr>
      <w:r>
        <w:rPr>
          <w:color w:val="1A1A1A"/>
          <w:sz w:val="21"/>
          <w:szCs w:val="21"/>
        </w:rPr>
        <w:t>Die Europäische Union kann sich diesen Ansehensverlust nicht leisten. Nicht gegenüber den regulierten Institutionen, die in gutem Glauben handeln. Nicht gegenüber internationalen Partnern, die beob</w:t>
      </w:r>
      <w:r>
        <w:rPr>
          <w:color w:val="1A1A1A"/>
          <w:sz w:val="21"/>
          <w:szCs w:val="21"/>
        </w:rPr>
        <w:t xml:space="preserve">achten, ob europäische Regulierung praktikabel ist. Und nicht gegenüber dem Rest der Welt, der entscheidet, ob europäisches </w:t>
      </w:r>
      <w:proofErr w:type="spellStart"/>
      <w:r>
        <w:rPr>
          <w:color w:val="1A1A1A"/>
          <w:sz w:val="21"/>
          <w:szCs w:val="21"/>
        </w:rPr>
        <w:t>RegTech</w:t>
      </w:r>
      <w:proofErr w:type="spellEnd"/>
      <w:r>
        <w:rPr>
          <w:color w:val="1A1A1A"/>
          <w:sz w:val="21"/>
          <w:szCs w:val="21"/>
        </w:rPr>
        <w:t xml:space="preserve"> als globaler Standard ernst genommen wird.</w:t>
      </w:r>
    </w:p>
    <w:p w:rsidR="00514E2C" w:rsidRDefault="008A5B8F">
      <w:pPr>
        <w:spacing w:before="80" w:after="140" w:line="340" w:lineRule="auto"/>
        <w:jc w:val="both"/>
      </w:pPr>
      <w:r>
        <w:rPr>
          <w:color w:val="1A1A1A"/>
          <w:sz w:val="21"/>
          <w:szCs w:val="21"/>
        </w:rPr>
        <w:t>Wir fordern einen beschleunigten Standardisierungsprozess. Einen, der die technis</w:t>
      </w:r>
      <w:r>
        <w:rPr>
          <w:color w:val="1A1A1A"/>
          <w:sz w:val="21"/>
          <w:szCs w:val="21"/>
        </w:rPr>
        <w:t>che Realität bestehender Architekturen einbezieht, der auf produktionserprobten Systemen basiert, und der einen klaren Zeitplan setzt, der mit dem Vollzugstempo der Regulierung kompatibel ist.</w:t>
      </w:r>
    </w:p>
    <w:p w:rsidR="00514E2C" w:rsidRDefault="00514E2C"/>
    <w:p w:rsidR="00514E2C" w:rsidRDefault="00514E2C"/>
    <w:p w:rsidR="00514E2C" w:rsidRDefault="00514E2C">
      <w:pPr>
        <w:pBdr>
          <w:bottom w:val="single" w:sz="6" w:space="0" w:color="1B2A3B"/>
        </w:pBdr>
        <w:spacing w:after="200"/>
      </w:pPr>
    </w:p>
    <w:p w:rsidR="00514E2C" w:rsidRDefault="008A5B8F">
      <w:pPr>
        <w:spacing w:before="240" w:after="200"/>
      </w:pPr>
      <w:r>
        <w:rPr>
          <w:b/>
          <w:bCs/>
          <w:color w:val="1B2A3B"/>
          <w:sz w:val="26"/>
          <w:szCs w:val="26"/>
        </w:rPr>
        <w:t>Was wir fordern</w:t>
      </w:r>
    </w:p>
    <w:p w:rsidR="00514E2C" w:rsidRDefault="008A5B8F">
      <w:pPr>
        <w:spacing w:before="120" w:after="80" w:line="320" w:lineRule="auto"/>
      </w:pPr>
      <w:r>
        <w:rPr>
          <w:b/>
          <w:bCs/>
          <w:color w:val="1B2A3B"/>
          <w:sz w:val="21"/>
          <w:szCs w:val="21"/>
        </w:rPr>
        <w:t xml:space="preserve">Vom BSI: </w:t>
      </w:r>
      <w:r>
        <w:rPr>
          <w:color w:val="1A1A1A"/>
          <w:sz w:val="21"/>
          <w:szCs w:val="21"/>
        </w:rPr>
        <w:t xml:space="preserve">Prüfen Sie unsere Architektur als Referenzimplementierung für die Beweisanforderungen des neuen KI-Überwachungsmandats. Setzen Sie Zero Key </w:t>
      </w:r>
      <w:proofErr w:type="spellStart"/>
      <w:r>
        <w:rPr>
          <w:color w:val="1A1A1A"/>
          <w:sz w:val="21"/>
          <w:szCs w:val="21"/>
        </w:rPr>
        <w:t>Custody</w:t>
      </w:r>
      <w:proofErr w:type="spellEnd"/>
      <w:r>
        <w:rPr>
          <w:color w:val="1A1A1A"/>
          <w:sz w:val="21"/>
          <w:szCs w:val="21"/>
        </w:rPr>
        <w:t xml:space="preserve"> und Post-Quantum-Hybrid-Signaturen als verbindliche Anforderungen für regulierte Compliance-Infrastruktur. B</w:t>
      </w:r>
      <w:r>
        <w:rPr>
          <w:color w:val="1A1A1A"/>
          <w:sz w:val="21"/>
          <w:szCs w:val="21"/>
        </w:rPr>
        <w:t>eschleunigen Sie den Normierungsprozess mit realen Systemen statt theoretischen Spezifikationen als Grundlage.</w:t>
      </w:r>
    </w:p>
    <w:p w:rsidR="00514E2C" w:rsidRDefault="00514E2C"/>
    <w:p w:rsidR="00514E2C" w:rsidRDefault="008A5B8F">
      <w:pPr>
        <w:spacing w:before="120" w:after="80" w:line="320" w:lineRule="auto"/>
      </w:pPr>
      <w:r>
        <w:rPr>
          <w:b/>
          <w:bCs/>
          <w:color w:val="1B2A3B"/>
          <w:sz w:val="21"/>
          <w:szCs w:val="21"/>
        </w:rPr>
        <w:t xml:space="preserve">Vom Bundesministerium für Digitales: </w:t>
      </w:r>
      <w:r>
        <w:rPr>
          <w:color w:val="1A1A1A"/>
          <w:sz w:val="21"/>
          <w:szCs w:val="21"/>
        </w:rPr>
        <w:t xml:space="preserve">Erkennen Sie </w:t>
      </w:r>
      <w:proofErr w:type="spellStart"/>
      <w:r>
        <w:rPr>
          <w:color w:val="1A1A1A"/>
          <w:sz w:val="21"/>
          <w:szCs w:val="21"/>
        </w:rPr>
        <w:t>Institutional</w:t>
      </w:r>
      <w:proofErr w:type="spellEnd"/>
      <w:r>
        <w:rPr>
          <w:color w:val="1A1A1A"/>
          <w:sz w:val="21"/>
          <w:szCs w:val="21"/>
        </w:rPr>
        <w:t xml:space="preserve"> Trust Infrastructure als eigenständige und strategisch bedeutsame Kategorie in d</w:t>
      </w:r>
      <w:r>
        <w:rPr>
          <w:color w:val="1A1A1A"/>
          <w:sz w:val="21"/>
          <w:szCs w:val="21"/>
        </w:rPr>
        <w:t>er deutschen Digitalinfrastrukturstrategie an. Adressieren Sie die Kosten-Asymmetrie zwischen Großinstitutionen und Mittelstand als Marktversagen, das Regulierung beheben, nicht vertiefen muss. Initiieren Sie eine öffentliche Referenzimplementierung.</w:t>
      </w:r>
    </w:p>
    <w:p w:rsidR="00514E2C" w:rsidRDefault="00514E2C"/>
    <w:p w:rsidR="00514E2C" w:rsidRDefault="008A5B8F">
      <w:pPr>
        <w:spacing w:before="120" w:after="80" w:line="320" w:lineRule="auto"/>
      </w:pPr>
      <w:r>
        <w:rPr>
          <w:b/>
          <w:bCs/>
          <w:color w:val="1B2A3B"/>
          <w:sz w:val="21"/>
          <w:szCs w:val="21"/>
        </w:rPr>
        <w:t xml:space="preserve">Vom </w:t>
      </w:r>
      <w:r>
        <w:rPr>
          <w:b/>
          <w:bCs/>
          <w:color w:val="1B2A3B"/>
          <w:sz w:val="21"/>
          <w:szCs w:val="21"/>
        </w:rPr>
        <w:t xml:space="preserve">Europäischen Kommission: </w:t>
      </w:r>
      <w:r>
        <w:rPr>
          <w:color w:val="1A1A1A"/>
          <w:sz w:val="21"/>
          <w:szCs w:val="21"/>
        </w:rPr>
        <w:t xml:space="preserve">Erklären Sie CLOUD-Act-Risiko zu einem formalen Compliance-Aspekt unter DORA und NIS2. Schreiben Sie Zero Key </w:t>
      </w:r>
      <w:proofErr w:type="spellStart"/>
      <w:r>
        <w:rPr>
          <w:color w:val="1A1A1A"/>
          <w:sz w:val="21"/>
          <w:szCs w:val="21"/>
        </w:rPr>
        <w:t>Custody</w:t>
      </w:r>
      <w:proofErr w:type="spellEnd"/>
      <w:r>
        <w:rPr>
          <w:color w:val="1A1A1A"/>
          <w:sz w:val="21"/>
          <w:szCs w:val="21"/>
        </w:rPr>
        <w:t xml:space="preserve"> für Compliance-Daten kritischer Infrastrukturen vor. Setzen Sie einen Zeitplan für Post-Quantum-Bereitschaft, der</w:t>
      </w:r>
      <w:r>
        <w:rPr>
          <w:color w:val="1A1A1A"/>
          <w:sz w:val="21"/>
          <w:szCs w:val="21"/>
        </w:rPr>
        <w:t xml:space="preserve"> Dringlichkeit schafft, ohne Panik auszulösen. Stellen Sie sicher, dass die Compliance-Kostenstruktur von DORA, NIS2 und EU AI Act nicht unbeabsichtigt Marktkonsolidierung zugunsten der größten Institutionen beschleunigt.</w:t>
      </w:r>
    </w:p>
    <w:p w:rsidR="00514E2C" w:rsidRDefault="00514E2C"/>
    <w:p w:rsidR="00514E2C" w:rsidRDefault="00514E2C"/>
    <w:p w:rsidR="00514E2C" w:rsidRDefault="00514E2C">
      <w:pPr>
        <w:pBdr>
          <w:bottom w:val="single" w:sz="6" w:space="0" w:color="1B2A3B"/>
        </w:pBdr>
        <w:spacing w:after="200"/>
      </w:pPr>
    </w:p>
    <w:p w:rsidR="00514E2C" w:rsidRDefault="008A5B8F">
      <w:pPr>
        <w:spacing w:before="240" w:after="200"/>
      </w:pPr>
      <w:r>
        <w:rPr>
          <w:b/>
          <w:bCs/>
          <w:color w:val="1B2A3B"/>
          <w:sz w:val="26"/>
          <w:szCs w:val="26"/>
        </w:rPr>
        <w:t>Die Alternative</w:t>
      </w:r>
    </w:p>
    <w:p w:rsidR="00514E2C" w:rsidRDefault="008A5B8F">
      <w:pPr>
        <w:spacing w:before="80" w:after="140" w:line="340" w:lineRule="auto"/>
        <w:jc w:val="both"/>
      </w:pPr>
      <w:r>
        <w:rPr>
          <w:color w:val="1A1A1A"/>
          <w:sz w:val="21"/>
          <w:szCs w:val="21"/>
        </w:rPr>
        <w:t>Wenn nichts dav</w:t>
      </w:r>
      <w:r>
        <w:rPr>
          <w:color w:val="1A1A1A"/>
          <w:sz w:val="21"/>
          <w:szCs w:val="21"/>
        </w:rPr>
        <w:t>on geschieht, ist das Szenario vorhersehbar.</w:t>
      </w:r>
    </w:p>
    <w:p w:rsidR="00514E2C" w:rsidRDefault="008A5B8F">
      <w:pPr>
        <w:spacing w:before="80" w:after="140" w:line="340" w:lineRule="auto"/>
        <w:jc w:val="both"/>
      </w:pPr>
      <w:r>
        <w:rPr>
          <w:color w:val="1A1A1A"/>
          <w:sz w:val="21"/>
          <w:szCs w:val="21"/>
        </w:rPr>
        <w:t>Große europäische Finanzinstitutionen werden weiter von US-</w:t>
      </w:r>
      <w:proofErr w:type="spellStart"/>
      <w:r>
        <w:rPr>
          <w:color w:val="1A1A1A"/>
          <w:sz w:val="21"/>
          <w:szCs w:val="21"/>
        </w:rPr>
        <w:t>Hyperscaler</w:t>
      </w:r>
      <w:proofErr w:type="spellEnd"/>
      <w:r>
        <w:rPr>
          <w:color w:val="1A1A1A"/>
          <w:sz w:val="21"/>
          <w:szCs w:val="21"/>
        </w:rPr>
        <w:t>-Infrastruktur mit konditionierter Souveränität abhängig sein, bis ein CLOUD-Act-Offenbarungsereignis eine Krise auslöst, die eine legislativ</w:t>
      </w:r>
      <w:r>
        <w:rPr>
          <w:color w:val="1A1A1A"/>
          <w:sz w:val="21"/>
          <w:szCs w:val="21"/>
        </w:rPr>
        <w:t>e Reaktion unter Druck statt nach Plan erzwingt.</w:t>
      </w:r>
    </w:p>
    <w:p w:rsidR="00514E2C" w:rsidRDefault="008A5B8F">
      <w:pPr>
        <w:spacing w:before="80" w:after="140" w:line="340" w:lineRule="auto"/>
        <w:jc w:val="both"/>
      </w:pPr>
      <w:r>
        <w:rPr>
          <w:color w:val="1A1A1A"/>
          <w:sz w:val="21"/>
          <w:szCs w:val="21"/>
        </w:rPr>
        <w:t>Mittelgroße und kleine Institutionen werden in wachsender Zahl DORA- und KI-Act-Prüfungen nicht bestehen, nicht weil sie leichtfertig handelten, sondern weil die Infrastruktur, die sie benötigten, nicht in z</w:t>
      </w:r>
      <w:r>
        <w:rPr>
          <w:color w:val="1A1A1A"/>
          <w:sz w:val="21"/>
          <w:szCs w:val="21"/>
        </w:rPr>
        <w:t>ugänglicher Form existierte, als die Regulierung es erforderte.</w:t>
      </w:r>
    </w:p>
    <w:p w:rsidR="00514E2C" w:rsidRDefault="008A5B8F">
      <w:pPr>
        <w:spacing w:before="80" w:after="140" w:line="340" w:lineRule="auto"/>
        <w:jc w:val="both"/>
      </w:pPr>
      <w:r>
        <w:rPr>
          <w:color w:val="1A1A1A"/>
          <w:sz w:val="21"/>
          <w:szCs w:val="21"/>
        </w:rPr>
        <w:t xml:space="preserve">Das Dokumentationsvakuum wird von einer neuen Generation KI-generierter Berichte gefüllt werden, die </w:t>
      </w:r>
      <w:proofErr w:type="spellStart"/>
      <w:r>
        <w:rPr>
          <w:color w:val="1A1A1A"/>
          <w:sz w:val="21"/>
          <w:szCs w:val="21"/>
        </w:rPr>
        <w:t>sophistiziert</w:t>
      </w:r>
      <w:proofErr w:type="spellEnd"/>
      <w:r>
        <w:rPr>
          <w:color w:val="1A1A1A"/>
          <w:sz w:val="21"/>
          <w:szCs w:val="21"/>
        </w:rPr>
        <w:t>, plausibel und technisch nicht verifizierbar sind. Regulatoren werden sie nic</w:t>
      </w:r>
      <w:r>
        <w:rPr>
          <w:color w:val="1A1A1A"/>
          <w:sz w:val="21"/>
          <w:szCs w:val="21"/>
        </w:rPr>
        <w:t>ht von echten zeitgenössischen Nachweisen unterscheiden können. Durchsetzung wird zum Theater.</w:t>
      </w:r>
    </w:p>
    <w:p w:rsidR="00514E2C" w:rsidRDefault="008A5B8F">
      <w:pPr>
        <w:spacing w:before="80" w:after="140" w:line="340" w:lineRule="auto"/>
        <w:jc w:val="both"/>
      </w:pPr>
      <w:r>
        <w:rPr>
          <w:color w:val="1A1A1A"/>
          <w:sz w:val="21"/>
          <w:szCs w:val="21"/>
        </w:rPr>
        <w:t>Und europäische digitale Souveränität wird eine Wendung in Politikdokumenten bleiben, während die tatsächliche Infrastruktur, auf der europäische regulierte Date</w:t>
      </w:r>
      <w:r>
        <w:rPr>
          <w:color w:val="1A1A1A"/>
          <w:sz w:val="21"/>
          <w:szCs w:val="21"/>
        </w:rPr>
        <w:t>n beruhen, in Rechenzentren sitzt, die der Rechtsjurisdiktion einer fremden Macht unterworfen sind.</w:t>
      </w:r>
    </w:p>
    <w:p w:rsidR="00514E2C" w:rsidRDefault="008A5B8F">
      <w:pPr>
        <w:spacing w:before="80" w:after="140" w:line="340" w:lineRule="auto"/>
        <w:jc w:val="both"/>
      </w:pPr>
      <w:r>
        <w:rPr>
          <w:b/>
          <w:bCs/>
          <w:color w:val="1A1A1A"/>
          <w:sz w:val="21"/>
          <w:szCs w:val="21"/>
        </w:rPr>
        <w:t xml:space="preserve">Wir haben die Alternative gebaut. Sie läuft. Sie funktioniert. Die Architektur ist dauerhaft auf </w:t>
      </w:r>
      <w:proofErr w:type="spellStart"/>
      <w:r>
        <w:rPr>
          <w:b/>
          <w:bCs/>
          <w:color w:val="1A1A1A"/>
          <w:sz w:val="21"/>
          <w:szCs w:val="21"/>
        </w:rPr>
        <w:t>Zeno</w:t>
      </w:r>
      <w:r w:rsidR="000A33D5">
        <w:rPr>
          <w:b/>
          <w:bCs/>
          <w:color w:val="1A1A1A"/>
          <w:sz w:val="21"/>
          <w:szCs w:val="21"/>
        </w:rPr>
        <w:t>do</w:t>
      </w:r>
      <w:proofErr w:type="spellEnd"/>
      <w:r w:rsidR="000A33D5">
        <w:rPr>
          <w:b/>
          <w:bCs/>
          <w:color w:val="1A1A1A"/>
          <w:sz w:val="21"/>
          <w:szCs w:val="21"/>
        </w:rPr>
        <w:t xml:space="preserve"> archiviert und zitierbar</w:t>
      </w:r>
      <w:bookmarkStart w:id="0" w:name="_GoBack"/>
      <w:bookmarkEnd w:id="0"/>
      <w:r>
        <w:rPr>
          <w:b/>
          <w:bCs/>
          <w:color w:val="1A1A1A"/>
          <w:sz w:val="21"/>
          <w:szCs w:val="21"/>
        </w:rPr>
        <w:t>. Die Methode ist öffen</w:t>
      </w:r>
      <w:r>
        <w:rPr>
          <w:b/>
          <w:bCs/>
          <w:color w:val="1A1A1A"/>
          <w:sz w:val="21"/>
          <w:szCs w:val="21"/>
        </w:rPr>
        <w:t xml:space="preserve">tlich prüfbar. Die </w:t>
      </w:r>
      <w:proofErr w:type="spellStart"/>
      <w:r>
        <w:rPr>
          <w:b/>
          <w:bCs/>
          <w:color w:val="1A1A1A"/>
          <w:sz w:val="21"/>
          <w:szCs w:val="21"/>
        </w:rPr>
        <w:t>Receipts</w:t>
      </w:r>
      <w:proofErr w:type="spellEnd"/>
      <w:r>
        <w:rPr>
          <w:b/>
          <w:bCs/>
          <w:color w:val="1A1A1A"/>
          <w:sz w:val="21"/>
          <w:szCs w:val="21"/>
        </w:rPr>
        <w:t xml:space="preserve"> sind real und mathematisch permanent.</w:t>
      </w:r>
    </w:p>
    <w:p w:rsidR="00514E2C" w:rsidRDefault="008A5B8F">
      <w:pPr>
        <w:spacing w:before="80" w:after="140" w:line="340" w:lineRule="auto"/>
        <w:jc w:val="both"/>
      </w:pPr>
      <w:r>
        <w:rPr>
          <w:color w:val="1A1A1A"/>
          <w:sz w:val="21"/>
          <w:szCs w:val="21"/>
        </w:rPr>
        <w:t>Die Entscheidung, ob daraus ein Standard wird, liegt bei den Institutionen, die wir in diesem Brief ansprechen.</w:t>
      </w:r>
    </w:p>
    <w:p w:rsidR="00514E2C" w:rsidRDefault="008A5B8F">
      <w:r>
        <w:br w:type="page"/>
      </w:r>
    </w:p>
    <w:p w:rsidR="00514E2C" w:rsidRDefault="00514E2C">
      <w:pPr>
        <w:pBdr>
          <w:bottom w:val="single" w:sz="6" w:space="0" w:color="1B2A3B"/>
        </w:pBdr>
        <w:spacing w:after="200"/>
      </w:pPr>
    </w:p>
    <w:p w:rsidR="00514E2C" w:rsidRDefault="00514E2C"/>
    <w:p w:rsidR="00514E2C" w:rsidRDefault="00514E2C"/>
    <w:p w:rsidR="00514E2C" w:rsidRDefault="007E2533">
      <w:pPr>
        <w:spacing w:after="80"/>
      </w:pPr>
      <w:r>
        <w:rPr>
          <w:noProof/>
        </w:rPr>
        <w:drawing>
          <wp:anchor distT="0" distB="0" distL="114300" distR="114300" simplePos="0" relativeHeight="251658240" behindDoc="1" locked="0" layoutInCell="1" allowOverlap="1">
            <wp:simplePos x="0" y="0"/>
            <wp:positionH relativeFrom="margin">
              <wp:posOffset>3035300</wp:posOffset>
            </wp:positionH>
            <wp:positionV relativeFrom="paragraph">
              <wp:posOffset>3175</wp:posOffset>
            </wp:positionV>
            <wp:extent cx="2273300" cy="590550"/>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Global Brief.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273300" cy="590550"/>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8A5B8F">
        <w:rPr>
          <w:b/>
          <w:bCs/>
          <w:color w:val="1B2A3B"/>
        </w:rPr>
        <w:t>immo.quick</w:t>
      </w:r>
      <w:proofErr w:type="spellEnd"/>
      <w:r w:rsidR="008A5B8F">
        <w:rPr>
          <w:b/>
          <w:bCs/>
          <w:color w:val="1B2A3B"/>
        </w:rPr>
        <w:t xml:space="preserve"> Global UG </w:t>
      </w:r>
      <w:r>
        <w:rPr>
          <w:b/>
          <w:bCs/>
          <w:color w:val="1B2A3B"/>
        </w:rPr>
        <w:tab/>
      </w:r>
      <w:r>
        <w:rPr>
          <w:b/>
          <w:bCs/>
          <w:color w:val="1B2A3B"/>
        </w:rPr>
        <w:tab/>
      </w:r>
      <w:r>
        <w:rPr>
          <w:b/>
          <w:bCs/>
          <w:color w:val="1B2A3B"/>
        </w:rPr>
        <w:tab/>
      </w:r>
      <w:r>
        <w:rPr>
          <w:b/>
          <w:bCs/>
          <w:color w:val="1B2A3B"/>
        </w:rPr>
        <w:tab/>
      </w:r>
    </w:p>
    <w:p w:rsidR="00514E2C" w:rsidRDefault="008A5B8F">
      <w:pPr>
        <w:spacing w:after="40"/>
      </w:pPr>
      <w:r>
        <w:rPr>
          <w:color w:val="4A5568"/>
          <w:sz w:val="20"/>
          <w:szCs w:val="20"/>
        </w:rPr>
        <w:t>Hatt</w:t>
      </w:r>
      <w:r>
        <w:rPr>
          <w:color w:val="4A5568"/>
          <w:sz w:val="20"/>
          <w:szCs w:val="20"/>
        </w:rPr>
        <w:t>ingen, Deutschland</w:t>
      </w:r>
    </w:p>
    <w:p w:rsidR="00514E2C" w:rsidRDefault="008A5B8F">
      <w:pPr>
        <w:spacing w:after="40"/>
      </w:pPr>
      <w:r>
        <w:rPr>
          <w:color w:val="4A5568"/>
          <w:sz w:val="20"/>
          <w:szCs w:val="20"/>
        </w:rPr>
        <w:t xml:space="preserve">Rami </w:t>
      </w:r>
      <w:proofErr w:type="spellStart"/>
      <w:r>
        <w:rPr>
          <w:color w:val="4A5568"/>
          <w:sz w:val="20"/>
          <w:szCs w:val="20"/>
        </w:rPr>
        <w:t>Cherri</w:t>
      </w:r>
      <w:proofErr w:type="spellEnd"/>
      <w:r>
        <w:rPr>
          <w:color w:val="4A5568"/>
          <w:sz w:val="20"/>
          <w:szCs w:val="20"/>
        </w:rPr>
        <w:t>, Gründer &amp; CEO</w:t>
      </w:r>
    </w:p>
    <w:p w:rsidR="00514E2C" w:rsidRDefault="00514E2C"/>
    <w:p w:rsidR="00514E2C" w:rsidRDefault="00514E2C"/>
    <w:p w:rsidR="00514E2C" w:rsidRDefault="00514E2C">
      <w:pPr>
        <w:pBdr>
          <w:bottom w:val="single" w:sz="2" w:space="0" w:color="C9D4DF"/>
        </w:pBdr>
        <w:spacing w:before="160" w:after="160"/>
      </w:pPr>
    </w:p>
    <w:p w:rsidR="00514E2C" w:rsidRDefault="008A5B8F">
      <w:pPr>
        <w:tabs>
          <w:tab w:val="left" w:pos="2520"/>
        </w:tabs>
        <w:spacing w:before="30" w:after="30"/>
      </w:pPr>
      <w:r>
        <w:rPr>
          <w:color w:val="718096"/>
          <w:sz w:val="18"/>
          <w:szCs w:val="18"/>
        </w:rPr>
        <w:t>Veröffentlicht:</w:t>
      </w:r>
      <w:r>
        <w:tab/>
      </w:r>
      <w:r w:rsidR="007E2533">
        <w:rPr>
          <w:color w:val="4A5568"/>
          <w:sz w:val="18"/>
          <w:szCs w:val="18"/>
        </w:rPr>
        <w:t xml:space="preserve">LinkedIn - </w:t>
      </w:r>
      <w:proofErr w:type="spellStart"/>
      <w:r w:rsidR="007E2533">
        <w:rPr>
          <w:color w:val="4A5568"/>
          <w:sz w:val="18"/>
          <w:szCs w:val="18"/>
        </w:rPr>
        <w:t>immo.quick</w:t>
      </w:r>
      <w:proofErr w:type="spellEnd"/>
      <w:r w:rsidR="007E2533">
        <w:rPr>
          <w:color w:val="4A5568"/>
          <w:sz w:val="18"/>
          <w:szCs w:val="18"/>
        </w:rPr>
        <w:t xml:space="preserve"> Global -</w:t>
      </w:r>
      <w:r>
        <w:rPr>
          <w:color w:val="4A5568"/>
          <w:sz w:val="18"/>
          <w:szCs w:val="18"/>
        </w:rPr>
        <w:t xml:space="preserve"> Juni 2026</w:t>
      </w:r>
    </w:p>
    <w:p w:rsidR="00514E2C" w:rsidRDefault="008A5B8F">
      <w:pPr>
        <w:tabs>
          <w:tab w:val="left" w:pos="2520"/>
        </w:tabs>
        <w:spacing w:before="30" w:after="30"/>
      </w:pPr>
      <w:r>
        <w:rPr>
          <w:color w:val="718096"/>
          <w:sz w:val="18"/>
          <w:szCs w:val="18"/>
        </w:rPr>
        <w:t>Version:</w:t>
      </w:r>
      <w:r>
        <w:tab/>
      </w:r>
      <w:proofErr w:type="spellStart"/>
      <w:r>
        <w:rPr>
          <w:color w:val="4A5568"/>
          <w:sz w:val="18"/>
          <w:szCs w:val="18"/>
        </w:rPr>
        <w:t>Serverless</w:t>
      </w:r>
      <w:proofErr w:type="spellEnd"/>
      <w:r>
        <w:rPr>
          <w:color w:val="4A5568"/>
          <w:sz w:val="18"/>
          <w:szCs w:val="18"/>
        </w:rPr>
        <w:t xml:space="preserve"> Edition </w:t>
      </w:r>
    </w:p>
    <w:p w:rsidR="00514E2C" w:rsidRDefault="008A5B8F">
      <w:pPr>
        <w:tabs>
          <w:tab w:val="left" w:pos="2520"/>
        </w:tabs>
        <w:spacing w:before="30" w:after="30"/>
      </w:pPr>
      <w:r>
        <w:rPr>
          <w:color w:val="718096"/>
          <w:sz w:val="18"/>
          <w:szCs w:val="18"/>
        </w:rPr>
        <w:t>Architektur-DOI:</w:t>
      </w:r>
      <w:r>
        <w:tab/>
      </w:r>
      <w:r>
        <w:rPr>
          <w:color w:val="4A5568"/>
          <w:sz w:val="18"/>
          <w:szCs w:val="18"/>
        </w:rPr>
        <w:t>10.5281/zenodo.20562673</w:t>
      </w:r>
    </w:p>
    <w:p w:rsidR="00514E2C" w:rsidRDefault="008A5B8F">
      <w:pPr>
        <w:tabs>
          <w:tab w:val="left" w:pos="2520"/>
        </w:tabs>
        <w:spacing w:before="30" w:after="30"/>
      </w:pPr>
      <w:r>
        <w:rPr>
          <w:color w:val="718096"/>
          <w:sz w:val="18"/>
          <w:szCs w:val="18"/>
        </w:rPr>
        <w:t>Kontakt:</w:t>
      </w:r>
      <w:r>
        <w:tab/>
      </w:r>
      <w:hyperlink r:id="rId8" w:history="1">
        <w:r w:rsidR="007E2533" w:rsidRPr="00493165">
          <w:rPr>
            <w:rStyle w:val="Hyperlink"/>
            <w:sz w:val="18"/>
            <w:szCs w:val="18"/>
          </w:rPr>
          <w:t>access@immoquick.eu</w:t>
        </w:r>
      </w:hyperlink>
      <w:r w:rsidR="007E2533">
        <w:rPr>
          <w:color w:val="4A5568"/>
          <w:sz w:val="18"/>
          <w:szCs w:val="18"/>
        </w:rPr>
        <w:t xml:space="preserve"> | r.cherri@immoquick.eu</w:t>
      </w:r>
    </w:p>
    <w:p w:rsidR="00514E2C" w:rsidRDefault="008A5B8F">
      <w:pPr>
        <w:tabs>
          <w:tab w:val="left" w:pos="2520"/>
        </w:tabs>
        <w:spacing w:before="30" w:after="30"/>
      </w:pPr>
      <w:r>
        <w:rPr>
          <w:color w:val="718096"/>
          <w:sz w:val="18"/>
          <w:szCs w:val="18"/>
        </w:rPr>
        <w:t>Web:</w:t>
      </w:r>
      <w:r>
        <w:tab/>
      </w:r>
      <w:r>
        <w:rPr>
          <w:color w:val="4A5568"/>
          <w:sz w:val="18"/>
          <w:szCs w:val="18"/>
        </w:rPr>
        <w:t>www.immoquick.eu</w:t>
      </w:r>
    </w:p>
    <w:p w:rsidR="00514E2C" w:rsidRDefault="00514E2C"/>
    <w:p w:rsidR="00514E2C" w:rsidRDefault="008A5B8F">
      <w:pPr>
        <w:spacing w:before="80" w:line="300" w:lineRule="auto"/>
        <w:jc w:val="both"/>
      </w:pPr>
      <w:r>
        <w:rPr>
          <w:i/>
          <w:iCs/>
          <w:color w:val="718096"/>
          <w:sz w:val="18"/>
          <w:szCs w:val="18"/>
        </w:rPr>
        <w:t>Dieser Brief wird öffentlich auf LinkedIn veröffentlicht, um technische und rechtliche Prüfung einzuladen. Wir begrüßen Antworten der angesprochenen Institutionen, unabhängiger Forscher, konkurrierender Infrastrukturanbieter und der regulierten Institution</w:t>
      </w:r>
      <w:r>
        <w:rPr>
          <w:i/>
          <w:iCs/>
          <w:color w:val="718096"/>
          <w:sz w:val="18"/>
          <w:szCs w:val="18"/>
        </w:rPr>
        <w:t>en, die letztlich die Konsequenzen der hier beschriebenen Entscheidungen tragen werden.</w:t>
      </w:r>
    </w:p>
    <w:sectPr w:rsidR="00514E2C">
      <w:headerReference w:type="default" r:id="rId9"/>
      <w:footerReference w:type="default" r:id="rId10"/>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5B8F" w:rsidRDefault="008A5B8F">
      <w:r>
        <w:separator/>
      </w:r>
    </w:p>
  </w:endnote>
  <w:endnote w:type="continuationSeparator" w:id="0">
    <w:p w:rsidR="008A5B8F" w:rsidRDefault="008A5B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4E2C" w:rsidRDefault="008A5B8F">
    <w:pPr>
      <w:pBdr>
        <w:top w:val="single" w:sz="2" w:space="6" w:color="C9D4DF"/>
      </w:pBdr>
      <w:tabs>
        <w:tab w:val="right" w:pos="9026"/>
      </w:tabs>
      <w:spacing w:before="100"/>
    </w:pPr>
    <w:proofErr w:type="spellStart"/>
    <w:r>
      <w:rPr>
        <w:i/>
        <w:iCs/>
        <w:color w:val="718096"/>
        <w:sz w:val="16"/>
        <w:szCs w:val="16"/>
      </w:rPr>
      <w:t>Sovereign</w:t>
    </w:r>
    <w:proofErr w:type="spellEnd"/>
    <w:r>
      <w:rPr>
        <w:i/>
        <w:iCs/>
        <w:color w:val="718096"/>
        <w:sz w:val="16"/>
        <w:szCs w:val="16"/>
      </w:rPr>
      <w:t xml:space="preserve"> Compliance Engine  —  </w:t>
    </w:r>
    <w:proofErr w:type="spellStart"/>
    <w:r>
      <w:rPr>
        <w:i/>
        <w:iCs/>
        <w:color w:val="718096"/>
        <w:sz w:val="16"/>
        <w:szCs w:val="16"/>
      </w:rPr>
      <w:t>Serverless</w:t>
    </w:r>
    <w:proofErr w:type="spellEnd"/>
    <w:r>
      <w:rPr>
        <w:i/>
        <w:iCs/>
        <w:color w:val="718096"/>
        <w:sz w:val="16"/>
        <w:szCs w:val="16"/>
      </w:rPr>
      <w:t xml:space="preserve"> Edition v</w:t>
    </w:r>
    <w:r>
      <w:rPr>
        <w:i/>
        <w:iCs/>
        <w:color w:val="718096"/>
        <w:sz w:val="16"/>
        <w:szCs w:val="16"/>
      </w:rPr>
      <w:t>1.1.0  —  DOI: 10.5281/zenodo.20562673</w:t>
    </w:r>
    <w:r>
      <w:tab/>
    </w:r>
    <w:r>
      <w:fldChar w:fldCharType="begin"/>
    </w:r>
    <w:r>
      <w:instrText>PAGE</w:instrText>
    </w:r>
    <w:r>
      <w:fldChar w:fldCharType="separate"/>
    </w:r>
    <w:r w:rsidR="000A33D5">
      <w:rPr>
        <w:noProof/>
      </w:rPr>
      <w:t>12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5B8F" w:rsidRDefault="008A5B8F">
      <w:r>
        <w:separator/>
      </w:r>
    </w:p>
  </w:footnote>
  <w:footnote w:type="continuationSeparator" w:id="0">
    <w:p w:rsidR="008A5B8F" w:rsidRDefault="008A5B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4E2C" w:rsidRDefault="008A5B8F">
    <w:pPr>
      <w:pBdr>
        <w:bottom w:val="single" w:sz="2" w:space="6" w:color="C9D4DF"/>
      </w:pBdr>
      <w:tabs>
        <w:tab w:val="right" w:pos="9026"/>
      </w:tabs>
      <w:spacing w:after="120"/>
    </w:pPr>
    <w:r>
      <w:rPr>
        <w:i/>
        <w:iCs/>
        <w:color w:val="718096"/>
        <w:sz w:val="17"/>
        <w:szCs w:val="17"/>
      </w:rPr>
      <w:t>Offener Brief</w:t>
    </w:r>
    <w:r>
      <w:tab/>
    </w:r>
    <w:proofErr w:type="spellStart"/>
    <w:r>
      <w:rPr>
        <w:color w:val="718096"/>
        <w:sz w:val="17"/>
        <w:szCs w:val="17"/>
      </w:rPr>
      <w:t>immo.quick</w:t>
    </w:r>
    <w:proofErr w:type="spellEnd"/>
    <w:r>
      <w:rPr>
        <w:color w:val="718096"/>
        <w:sz w:val="17"/>
        <w:szCs w:val="17"/>
      </w:rPr>
      <w:t xml:space="preserve"> Global  —  Juni 2026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EBF2ECA"/>
    <w:multiLevelType w:val="hybridMultilevel"/>
    <w:tmpl w:val="56AC95C8"/>
    <w:lvl w:ilvl="0" w:tplc="93AEED08">
      <w:start w:val="1"/>
      <w:numFmt w:val="bullet"/>
      <w:lvlText w:val="●"/>
      <w:lvlJc w:val="left"/>
      <w:pPr>
        <w:ind w:left="720" w:hanging="360"/>
      </w:pPr>
    </w:lvl>
    <w:lvl w:ilvl="1" w:tplc="E728B186">
      <w:start w:val="1"/>
      <w:numFmt w:val="bullet"/>
      <w:lvlText w:val="○"/>
      <w:lvlJc w:val="left"/>
      <w:pPr>
        <w:ind w:left="1440" w:hanging="360"/>
      </w:pPr>
    </w:lvl>
    <w:lvl w:ilvl="2" w:tplc="0A7C83E0">
      <w:start w:val="1"/>
      <w:numFmt w:val="bullet"/>
      <w:lvlText w:val="■"/>
      <w:lvlJc w:val="left"/>
      <w:pPr>
        <w:ind w:left="2160" w:hanging="360"/>
      </w:pPr>
    </w:lvl>
    <w:lvl w:ilvl="3" w:tplc="AE20ACC4">
      <w:start w:val="1"/>
      <w:numFmt w:val="bullet"/>
      <w:lvlText w:val="●"/>
      <w:lvlJc w:val="left"/>
      <w:pPr>
        <w:ind w:left="2880" w:hanging="360"/>
      </w:pPr>
    </w:lvl>
    <w:lvl w:ilvl="4" w:tplc="6DF49AA4">
      <w:start w:val="1"/>
      <w:numFmt w:val="bullet"/>
      <w:lvlText w:val="○"/>
      <w:lvlJc w:val="left"/>
      <w:pPr>
        <w:ind w:left="3600" w:hanging="360"/>
      </w:pPr>
    </w:lvl>
    <w:lvl w:ilvl="5" w:tplc="1876B980">
      <w:start w:val="1"/>
      <w:numFmt w:val="bullet"/>
      <w:lvlText w:val="■"/>
      <w:lvlJc w:val="left"/>
      <w:pPr>
        <w:ind w:left="4320" w:hanging="360"/>
      </w:pPr>
    </w:lvl>
    <w:lvl w:ilvl="6" w:tplc="FD5EC7AA">
      <w:start w:val="1"/>
      <w:numFmt w:val="bullet"/>
      <w:lvlText w:val="●"/>
      <w:lvlJc w:val="left"/>
      <w:pPr>
        <w:ind w:left="5040" w:hanging="360"/>
      </w:pPr>
    </w:lvl>
    <w:lvl w:ilvl="7" w:tplc="631CAD24">
      <w:start w:val="1"/>
      <w:numFmt w:val="bullet"/>
      <w:lvlText w:val="●"/>
      <w:lvlJc w:val="left"/>
      <w:pPr>
        <w:ind w:left="5760" w:hanging="360"/>
      </w:pPr>
    </w:lvl>
    <w:lvl w:ilvl="8" w:tplc="A850B394">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4E2C"/>
    <w:rsid w:val="000A33D5"/>
    <w:rsid w:val="002D3493"/>
    <w:rsid w:val="00321866"/>
    <w:rsid w:val="00514E2C"/>
    <w:rsid w:val="007E2533"/>
    <w:rsid w:val="008A5B8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0A65E45-996F-4A56-B48F-0A3FB95F5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eastAsia="Georgia" w:hAnsi="Georgia" w:cs="Georgia"/>
        <w:sz w:val="22"/>
        <w:szCs w:val="22"/>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qFormat/>
    <w:pPr>
      <w:outlineLvl w:val="0"/>
    </w:pPr>
    <w:rPr>
      <w:color w:val="2E74B5"/>
      <w:sz w:val="32"/>
      <w:szCs w:val="32"/>
    </w:rPr>
  </w:style>
  <w:style w:type="paragraph" w:styleId="berschrift2">
    <w:name w:val="heading 2"/>
    <w:qFormat/>
    <w:pPr>
      <w:outlineLvl w:val="1"/>
    </w:pPr>
    <w:rPr>
      <w:color w:val="2E74B5"/>
      <w:sz w:val="26"/>
      <w:szCs w:val="26"/>
    </w:rPr>
  </w:style>
  <w:style w:type="paragraph" w:styleId="berschrift3">
    <w:name w:val="heading 3"/>
    <w:qFormat/>
    <w:pPr>
      <w:outlineLvl w:val="2"/>
    </w:pPr>
    <w:rPr>
      <w:color w:val="1F4D78"/>
      <w:sz w:val="24"/>
      <w:szCs w:val="24"/>
    </w:rPr>
  </w:style>
  <w:style w:type="paragraph" w:styleId="berschrift4">
    <w:name w:val="heading 4"/>
    <w:qFormat/>
    <w:pPr>
      <w:outlineLvl w:val="3"/>
    </w:pPr>
    <w:rPr>
      <w:i/>
      <w:iCs/>
      <w:color w:val="2E74B5"/>
    </w:rPr>
  </w:style>
  <w:style w:type="paragraph" w:styleId="berschrift5">
    <w:name w:val="heading 5"/>
    <w:qFormat/>
    <w:pPr>
      <w:outlineLvl w:val="4"/>
    </w:pPr>
    <w:rPr>
      <w:color w:val="2E74B5"/>
    </w:rPr>
  </w:style>
  <w:style w:type="paragraph" w:styleId="berschrift6">
    <w:name w:val="heading 6"/>
    <w:qFormat/>
    <w:pPr>
      <w:outlineLvl w:val="5"/>
    </w:pPr>
    <w:rPr>
      <w:color w:val="1F4D7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qFormat/>
    <w:rPr>
      <w:sz w:val="56"/>
      <w:szCs w:val="56"/>
    </w:rPr>
  </w:style>
  <w:style w:type="paragraph" w:customStyle="1" w:styleId="Fett1">
    <w:name w:val="Fett1"/>
    <w:qFormat/>
    <w:rPr>
      <w:b/>
      <w:bCs/>
    </w:rPr>
  </w:style>
  <w:style w:type="paragraph" w:styleId="Listenabsatz">
    <w:name w:val="List Paragraph"/>
    <w:qFormat/>
  </w:style>
  <w:style w:type="character" w:styleId="Hyperlink">
    <w:name w:val="Hyperlink"/>
    <w:uiPriority w:val="99"/>
    <w:unhideWhenUsed/>
    <w:rPr>
      <w:color w:val="0563C1"/>
      <w:u w:val="single"/>
    </w:rPr>
  </w:style>
  <w:style w:type="character" w:styleId="Funotenzeichen">
    <w:name w:val="footnote reference"/>
    <w:uiPriority w:val="99"/>
    <w:semiHidden/>
    <w:unhideWhenUsed/>
    <w:rPr>
      <w:vertAlign w:val="superscript"/>
    </w:rPr>
  </w:style>
  <w:style w:type="paragraph" w:styleId="Funotentext">
    <w:name w:val="footnote text"/>
    <w:link w:val="FunotentextZchn"/>
    <w:uiPriority w:val="99"/>
    <w:semiHidden/>
    <w:unhideWhenUsed/>
    <w:rPr>
      <w:sz w:val="20"/>
      <w:szCs w:val="20"/>
    </w:rPr>
  </w:style>
  <w:style w:type="character" w:customStyle="1" w:styleId="FunotentextZchn">
    <w:name w:val="Fußnotentext Zchn"/>
    <w:link w:val="Funotentext"/>
    <w:uiPriority w:val="99"/>
    <w:semiHidden/>
    <w:unhideWhenUsed/>
    <w:rPr>
      <w:sz w:val="20"/>
      <w:szCs w:val="20"/>
    </w:rPr>
  </w:style>
  <w:style w:type="character" w:styleId="Endnotenzeichen">
    <w:name w:val="endnote reference"/>
    <w:uiPriority w:val="99"/>
    <w:semiHidden/>
    <w:unhideWhenUsed/>
    <w:rPr>
      <w:vertAlign w:val="superscript"/>
    </w:rPr>
  </w:style>
  <w:style w:type="paragraph" w:styleId="Endnotentext">
    <w:name w:val="endnote text"/>
    <w:link w:val="EndnotentextZchn"/>
    <w:uiPriority w:val="99"/>
    <w:semiHidden/>
    <w:unhideWhenUsed/>
    <w:rPr>
      <w:sz w:val="20"/>
      <w:szCs w:val="20"/>
    </w:rPr>
  </w:style>
  <w:style w:type="character" w:customStyle="1" w:styleId="EndnotentextZchn">
    <w:name w:val="Endnotentext Zchn"/>
    <w:link w:val="Endnoten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access@immoquick.eu"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3388</Words>
  <Characters>21350</Characters>
  <Application>Microsoft Office Word</Application>
  <DocSecurity>0</DocSecurity>
  <Lines>177</Lines>
  <Paragraphs>49</Paragraphs>
  <ScaleCrop>false</ScaleCrop>
  <HeadingPairs>
    <vt:vector size="2" baseType="variant">
      <vt:variant>
        <vt:lpstr>Titel</vt:lpstr>
      </vt:variant>
      <vt:variant>
        <vt:i4>1</vt:i4>
      </vt:variant>
    </vt:vector>
  </HeadingPairs>
  <TitlesOfParts>
    <vt:vector size="1" baseType="lpstr">
      <vt:lpstr/>
    </vt:vector>
  </TitlesOfParts>
  <Company>Hochschule Bochum</Company>
  <LinksUpToDate>false</LinksUpToDate>
  <CharactersWithSpaces>24689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Admin</cp:lastModifiedBy>
  <cp:revision>5</cp:revision>
  <cp:lastPrinted>2026-06-12T15:26:00Z</cp:lastPrinted>
  <dcterms:created xsi:type="dcterms:W3CDTF">2026-06-12T14:52:00Z</dcterms:created>
  <dcterms:modified xsi:type="dcterms:W3CDTF">2026-06-12T15:38:00Z</dcterms:modified>
</cp:coreProperties>
</file>