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4E3" w:rsidRDefault="00D17610">
      <w:pPr>
        <w:spacing w:after="80"/>
        <w:rPr>
          <w:color w:val="718096"/>
          <w:spacing w:val="80"/>
          <w:sz w:val="17"/>
          <w:szCs w:val="17"/>
        </w:rPr>
      </w:pPr>
      <w:r>
        <w:rPr>
          <w:color w:val="718096"/>
          <w:spacing w:val="80"/>
          <w:sz w:val="17"/>
          <w:szCs w:val="17"/>
        </w:rPr>
        <w:t>OPEN LETTER  —  PUBLIC RECORD</w:t>
      </w:r>
    </w:p>
    <w:p w:rsidR="00775147" w:rsidRDefault="00775147">
      <w:pPr>
        <w:spacing w:after="80"/>
      </w:pPr>
    </w:p>
    <w:p w:rsidR="003B54E3" w:rsidRDefault="00D17610">
      <w:pPr>
        <w:spacing w:after="60"/>
      </w:pPr>
      <w:r>
        <w:rPr>
          <w:b/>
          <w:bCs/>
          <w:color w:val="1B2A3B"/>
          <w:sz w:val="28"/>
          <w:szCs w:val="28"/>
        </w:rPr>
        <w:t>To the Federal Office for Information Security,</w:t>
      </w:r>
    </w:p>
    <w:p w:rsidR="003B54E3" w:rsidRDefault="00D17610">
      <w:pPr>
        <w:spacing w:after="60"/>
      </w:pPr>
      <w:r>
        <w:rPr>
          <w:b/>
          <w:bCs/>
          <w:color w:val="1B2A3B"/>
          <w:sz w:val="28"/>
          <w:szCs w:val="28"/>
        </w:rPr>
        <w:t>the Federal Ministry for Digital Affairs,</w:t>
      </w:r>
    </w:p>
    <w:p w:rsidR="003B54E3" w:rsidRDefault="00D17610">
      <w:r>
        <w:rPr>
          <w:b/>
          <w:bCs/>
          <w:color w:val="1B2A3B"/>
          <w:sz w:val="28"/>
          <w:szCs w:val="28"/>
        </w:rPr>
        <w:t>and the European Commission</w:t>
      </w:r>
    </w:p>
    <w:p w:rsidR="003B54E3" w:rsidRDefault="003B54E3">
      <w:pPr>
        <w:pBdr>
          <w:bottom w:val="single" w:sz="6" w:space="0" w:color="1B2A3B"/>
        </w:pBdr>
        <w:spacing w:after="200"/>
      </w:pPr>
    </w:p>
    <w:p w:rsidR="003B54E3" w:rsidRDefault="00D17610">
      <w:pPr>
        <w:spacing w:before="40" w:after="40"/>
      </w:pPr>
      <w:r>
        <w:rPr>
          <w:b/>
          <w:bCs/>
          <w:color w:val="1B2A3B"/>
          <w:sz w:val="20"/>
          <w:szCs w:val="20"/>
        </w:rPr>
        <w:t xml:space="preserve">To: </w:t>
      </w:r>
      <w:r>
        <w:rPr>
          <w:color w:val="4A5568"/>
          <w:sz w:val="20"/>
          <w:szCs w:val="20"/>
        </w:rPr>
        <w:t>Federal Office for Information Security (BSI)</w:t>
      </w:r>
    </w:p>
    <w:p w:rsidR="003B54E3" w:rsidRDefault="00D17610">
      <w:pPr>
        <w:spacing w:before="40" w:after="40"/>
      </w:pPr>
      <w:r>
        <w:rPr>
          <w:b/>
          <w:bCs/>
          <w:color w:val="1B2A3B"/>
          <w:sz w:val="20"/>
          <w:szCs w:val="20"/>
        </w:rPr>
        <w:t xml:space="preserve">To: </w:t>
      </w:r>
      <w:r>
        <w:rPr>
          <w:color w:val="4A5568"/>
          <w:sz w:val="20"/>
          <w:szCs w:val="20"/>
        </w:rPr>
        <w:t>Federal Ministry for Dig</w:t>
      </w:r>
      <w:r w:rsidR="00ED4204">
        <w:rPr>
          <w:color w:val="4A5568"/>
          <w:sz w:val="20"/>
          <w:szCs w:val="20"/>
        </w:rPr>
        <w:t>ital Transformation and Government Modernisation (BMDS</w:t>
      </w:r>
      <w:r>
        <w:rPr>
          <w:color w:val="4A5568"/>
          <w:sz w:val="20"/>
          <w:szCs w:val="20"/>
        </w:rPr>
        <w:t>)</w:t>
      </w:r>
    </w:p>
    <w:p w:rsidR="003B54E3" w:rsidRDefault="00D17610">
      <w:pPr>
        <w:spacing w:before="40" w:after="40"/>
      </w:pPr>
      <w:r>
        <w:rPr>
          <w:b/>
          <w:bCs/>
          <w:color w:val="1B2A3B"/>
          <w:sz w:val="20"/>
          <w:szCs w:val="20"/>
        </w:rPr>
        <w:t xml:space="preserve">To: </w:t>
      </w:r>
      <w:r w:rsidR="00ED4204">
        <w:rPr>
          <w:color w:val="4A5568"/>
          <w:sz w:val="20"/>
          <w:szCs w:val="20"/>
        </w:rPr>
        <w:t>European Commission -</w:t>
      </w:r>
      <w:r>
        <w:rPr>
          <w:color w:val="4A5568"/>
          <w:sz w:val="20"/>
          <w:szCs w:val="20"/>
        </w:rPr>
        <w:t xml:space="preserve"> DG CONNECT and DG FISMA</w:t>
      </w:r>
    </w:p>
    <w:p w:rsidR="003B54E3" w:rsidRDefault="00D17610">
      <w:pPr>
        <w:spacing w:before="40" w:after="40"/>
      </w:pPr>
      <w:r>
        <w:rPr>
          <w:b/>
          <w:bCs/>
          <w:color w:val="1B2A3B"/>
          <w:sz w:val="20"/>
          <w:szCs w:val="20"/>
        </w:rPr>
        <w:t xml:space="preserve">cc: </w:t>
      </w:r>
      <w:r>
        <w:rPr>
          <w:color w:val="4A5568"/>
          <w:sz w:val="20"/>
          <w:szCs w:val="20"/>
        </w:rPr>
        <w:t>ENISA, BaFin, Deutsche Bundesbank, ECB, Bundesnetzagentur</w:t>
      </w:r>
    </w:p>
    <w:p w:rsidR="003B54E3" w:rsidRDefault="003B54E3">
      <w:pPr>
        <w:pBdr>
          <w:bottom w:val="single" w:sz="2" w:space="0" w:color="C9D4DF"/>
        </w:pBdr>
        <w:spacing w:before="160" w:after="160"/>
      </w:pPr>
    </w:p>
    <w:p w:rsidR="003B54E3" w:rsidRDefault="00D17610">
      <w:pPr>
        <w:tabs>
          <w:tab w:val="left" w:pos="2160"/>
        </w:tabs>
        <w:spacing w:before="30" w:after="30"/>
      </w:pPr>
      <w:r>
        <w:rPr>
          <w:color w:val="718096"/>
          <w:sz w:val="18"/>
          <w:szCs w:val="18"/>
        </w:rPr>
        <w:t>Published:</w:t>
      </w:r>
      <w:r>
        <w:tab/>
      </w:r>
      <w:r w:rsidR="00ED4204">
        <w:rPr>
          <w:color w:val="4A5568"/>
          <w:sz w:val="18"/>
          <w:szCs w:val="18"/>
        </w:rPr>
        <w:t>LinkedIn -</w:t>
      </w:r>
      <w:bookmarkStart w:id="0" w:name="_GoBack"/>
      <w:bookmarkEnd w:id="0"/>
      <w:r>
        <w:rPr>
          <w:color w:val="4A5568"/>
          <w:sz w:val="18"/>
          <w:szCs w:val="18"/>
        </w:rPr>
        <w:t xml:space="preserve"> June 2026</w:t>
      </w:r>
    </w:p>
    <w:p w:rsidR="003B54E3" w:rsidRDefault="00D17610">
      <w:pPr>
        <w:tabs>
          <w:tab w:val="left" w:pos="2160"/>
        </w:tabs>
        <w:spacing w:before="30" w:after="30"/>
      </w:pPr>
      <w:r>
        <w:rPr>
          <w:color w:val="718096"/>
          <w:sz w:val="18"/>
          <w:szCs w:val="18"/>
        </w:rPr>
        <w:t>Author:</w:t>
      </w:r>
      <w:r>
        <w:tab/>
      </w:r>
      <w:r>
        <w:rPr>
          <w:color w:val="4A5568"/>
          <w:sz w:val="18"/>
          <w:szCs w:val="18"/>
        </w:rPr>
        <w:t>immo.quick Global, Hattingen, Germany</w:t>
      </w:r>
    </w:p>
    <w:p w:rsidR="003B54E3" w:rsidRDefault="00D17610">
      <w:pPr>
        <w:tabs>
          <w:tab w:val="left" w:pos="2160"/>
        </w:tabs>
        <w:spacing w:before="30" w:after="30"/>
      </w:pPr>
      <w:r>
        <w:rPr>
          <w:color w:val="718096"/>
          <w:sz w:val="18"/>
          <w:szCs w:val="18"/>
        </w:rPr>
        <w:t>Version</w:t>
      </w:r>
      <w:r>
        <w:rPr>
          <w:color w:val="718096"/>
          <w:sz w:val="18"/>
          <w:szCs w:val="18"/>
        </w:rPr>
        <w:t>:</w:t>
      </w:r>
      <w:r>
        <w:tab/>
      </w:r>
      <w:r w:rsidR="00775147">
        <w:rPr>
          <w:color w:val="4A5568"/>
          <w:sz w:val="18"/>
          <w:szCs w:val="18"/>
        </w:rPr>
        <w:t xml:space="preserve">Serverless Edition </w:t>
      </w:r>
    </w:p>
    <w:p w:rsidR="003B54E3" w:rsidRDefault="00D17610">
      <w:pPr>
        <w:tabs>
          <w:tab w:val="left" w:pos="2160"/>
        </w:tabs>
        <w:spacing w:before="30" w:after="30"/>
      </w:pPr>
      <w:r>
        <w:rPr>
          <w:color w:val="718096"/>
          <w:sz w:val="18"/>
          <w:szCs w:val="18"/>
        </w:rPr>
        <w:t>DOI:</w:t>
      </w:r>
      <w:r>
        <w:tab/>
      </w:r>
      <w:r>
        <w:rPr>
          <w:color w:val="4A5568"/>
          <w:sz w:val="18"/>
          <w:szCs w:val="18"/>
        </w:rPr>
        <w:t>10.5281/zenodo.20562673</w:t>
      </w:r>
    </w:p>
    <w:p w:rsidR="003B54E3" w:rsidRDefault="00D17610">
      <w:pPr>
        <w:tabs>
          <w:tab w:val="left" w:pos="2160"/>
        </w:tabs>
        <w:spacing w:before="30" w:after="30"/>
      </w:pPr>
      <w:r>
        <w:rPr>
          <w:color w:val="718096"/>
          <w:sz w:val="18"/>
          <w:szCs w:val="18"/>
        </w:rPr>
        <w:t>Contact:</w:t>
      </w:r>
      <w:r>
        <w:tab/>
      </w:r>
      <w:r w:rsidR="00775147">
        <w:rPr>
          <w:color w:val="4A5568"/>
          <w:sz w:val="18"/>
          <w:szCs w:val="18"/>
        </w:rPr>
        <w:t>access</w:t>
      </w:r>
      <w:r>
        <w:rPr>
          <w:color w:val="4A5568"/>
          <w:sz w:val="18"/>
          <w:szCs w:val="18"/>
        </w:rPr>
        <w:t>@immoquick.</w:t>
      </w:r>
      <w:r w:rsidR="00775147">
        <w:rPr>
          <w:color w:val="4A5568"/>
          <w:sz w:val="18"/>
          <w:szCs w:val="18"/>
        </w:rPr>
        <w:t>eu</w:t>
      </w:r>
    </w:p>
    <w:p w:rsidR="003B54E3" w:rsidRDefault="003B54E3"/>
    <w:p w:rsidR="003B54E3" w:rsidRDefault="003B54E3"/>
    <w:p w:rsidR="003B54E3" w:rsidRDefault="00D17610">
      <w:pPr>
        <w:spacing w:before="80" w:after="140" w:line="340" w:lineRule="auto"/>
        <w:jc w:val="both"/>
      </w:pPr>
      <w:r>
        <w:rPr>
          <w:color w:val="1A1A1A"/>
          <w:sz w:val="21"/>
          <w:szCs w:val="21"/>
        </w:rPr>
        <w:t>We are writing this letter publicly because the matter is too important for closed-door conversations.</w:t>
      </w:r>
    </w:p>
    <w:p w:rsidR="003B54E3" w:rsidRDefault="00D17610">
      <w:pPr>
        <w:spacing w:before="80" w:after="140" w:line="340" w:lineRule="auto"/>
        <w:jc w:val="both"/>
      </w:pPr>
      <w:r>
        <w:rPr>
          <w:color w:val="1A1A1A"/>
          <w:sz w:val="21"/>
          <w:szCs w:val="21"/>
        </w:rPr>
        <w:t>Europe is at a turning point that does not resolve itself</w:t>
      </w:r>
      <w:r>
        <w:rPr>
          <w:color w:val="1A1A1A"/>
          <w:sz w:val="21"/>
          <w:szCs w:val="21"/>
        </w:rPr>
        <w:t xml:space="preserve"> through further waiting. The laws are in force. The deadlines are real. The first fines are being issued. But the infrastructure that would actually allow financial institutions, government bodies, PropTech platforms, and the European Mittelstand to compl</w:t>
      </w:r>
      <w:r>
        <w:rPr>
          <w:color w:val="1A1A1A"/>
          <w:sz w:val="21"/>
          <w:szCs w:val="21"/>
        </w:rPr>
        <w:t>y with these regulations in a technically demonstrable, legally defensible, and sovereignty-preserving way does not yet exist as a recognized standard.</w:t>
      </w:r>
    </w:p>
    <w:p w:rsidR="003B54E3" w:rsidRDefault="00D17610">
      <w:pPr>
        <w:spacing w:before="80" w:after="140" w:line="340" w:lineRule="auto"/>
        <w:jc w:val="both"/>
      </w:pPr>
      <w:r>
        <w:rPr>
          <w:color w:val="1A1A1A"/>
          <w:sz w:val="21"/>
          <w:szCs w:val="21"/>
        </w:rPr>
        <w:t>We built it. And we are asking the institutions addressed here to examine it, certify it, and ultimately</w:t>
      </w:r>
      <w:r>
        <w:rPr>
          <w:color w:val="1A1A1A"/>
          <w:sz w:val="21"/>
          <w:szCs w:val="21"/>
        </w:rPr>
        <w:t xml:space="preserve"> establish it as the binding benchmark.</w:t>
      </w:r>
    </w:p>
    <w:p w:rsidR="003B54E3" w:rsidRDefault="00D17610">
      <w:pPr>
        <w:spacing w:before="80" w:after="140" w:line="340" w:lineRule="auto"/>
        <w:jc w:val="both"/>
      </w:pPr>
      <w:r>
        <w:rPr>
          <w:color w:val="1A1A1A"/>
          <w:sz w:val="21"/>
          <w:szCs w:val="21"/>
        </w:rPr>
        <w:t>This letter is not a product pitch. It is a technical and legal argument for a new infrastructure category that we call Institutional Trust Infrastructure. And it is an urgent appeal, because the window for a formative European response is closing while hy</w:t>
      </w:r>
      <w:r>
        <w:rPr>
          <w:color w:val="1A1A1A"/>
          <w:sz w:val="21"/>
          <w:szCs w:val="21"/>
        </w:rPr>
        <w:t>perscaler dependencies deepen and the first wave of serious DORA enforcement actions simultaneously accelerates.</w:t>
      </w:r>
    </w:p>
    <w:p w:rsidR="003B54E3" w:rsidRDefault="00D17610">
      <w:r>
        <w:br w:type="page"/>
      </w:r>
    </w:p>
    <w:p w:rsidR="003B54E3" w:rsidRDefault="00D17610">
      <w:pPr>
        <w:spacing w:before="480" w:after="120"/>
      </w:pPr>
      <w:r>
        <w:rPr>
          <w:b/>
          <w:bCs/>
          <w:color w:val="1B2A3B"/>
        </w:rPr>
        <w:lastRenderedPageBreak/>
        <w:t>Part I: The Problem That Nobody States Clearly Enough</w:t>
      </w:r>
    </w:p>
    <w:p w:rsidR="003B54E3" w:rsidRDefault="00D17610">
      <w:pPr>
        <w:spacing w:before="80" w:after="140" w:line="340" w:lineRule="auto"/>
        <w:jc w:val="both"/>
      </w:pPr>
      <w:r>
        <w:rPr>
          <w:color w:val="1A1A1A"/>
          <w:sz w:val="21"/>
          <w:szCs w:val="21"/>
        </w:rPr>
        <w:t>The Digital Operational Resilience Act. NIS2. The EU AI Act. GDPR. AMLD6. PSD3. DORA Article 17. The German Anti-Money Laundering Act. The FINMA circulars on operational resilience. The SEC Cybersecurity Rules. CIRCIA. CMMC. FIPS 140-3. The brand-new Germa</w:t>
      </w:r>
      <w:r>
        <w:rPr>
          <w:color w:val="1A1A1A"/>
          <w:sz w:val="21"/>
          <w:szCs w:val="21"/>
        </w:rPr>
        <w:t>n AI Implementation Act, which assigns the BSI and the Federal Network Agency explicit central roles in the market surveillance of high-risk AI systems.</w:t>
      </w:r>
    </w:p>
    <w:p w:rsidR="003B54E3" w:rsidRDefault="00D17610">
      <w:pPr>
        <w:spacing w:before="80" w:after="140" w:line="340" w:lineRule="auto"/>
        <w:jc w:val="both"/>
      </w:pPr>
      <w:r>
        <w:rPr>
          <w:color w:val="1A1A1A"/>
          <w:sz w:val="21"/>
          <w:szCs w:val="21"/>
        </w:rPr>
        <w:t>Every single one of these frameworks demands the same thing at its core: technically verifiable proof t</w:t>
      </w:r>
      <w:r>
        <w:rPr>
          <w:color w:val="1A1A1A"/>
          <w:sz w:val="21"/>
          <w:szCs w:val="21"/>
        </w:rPr>
        <w:t>hat compliance occurred at the exact moment a regulated action was taken.</w:t>
      </w:r>
    </w:p>
    <w:p w:rsidR="003B54E3" w:rsidRDefault="00D17610">
      <w:pPr>
        <w:spacing w:before="80" w:after="140" w:line="340" w:lineRule="auto"/>
        <w:jc w:val="both"/>
      </w:pPr>
      <w:r>
        <w:rPr>
          <w:color w:val="1A1A1A"/>
          <w:sz w:val="21"/>
          <w:szCs w:val="21"/>
        </w:rPr>
        <w:t>Not a report written three weeks later. Not a policy document signed by the Chief Compliance Officer. Not a screenshot from a dashboard. Technically verifiable, cryptographically imm</w:t>
      </w:r>
      <w:r>
        <w:rPr>
          <w:color w:val="1A1A1A"/>
          <w:sz w:val="21"/>
          <w:szCs w:val="21"/>
        </w:rPr>
        <w:t>utable, time-anchored proof.</w:t>
      </w:r>
    </w:p>
    <w:p w:rsidR="003B54E3" w:rsidRDefault="00D17610">
      <w:pPr>
        <w:spacing w:before="80" w:after="140" w:line="340" w:lineRule="auto"/>
        <w:jc w:val="both"/>
      </w:pPr>
      <w:r>
        <w:rPr>
          <w:color w:val="1A1A1A"/>
          <w:sz w:val="21"/>
          <w:szCs w:val="21"/>
        </w:rPr>
        <w:t>The gap between what the regulations demand and what most institutions can actually produce is not a gap in willingness. It is a gap in infrastructure. And it is being papered over with Word documents, PDF reports, and spreadsh</w:t>
      </w:r>
      <w:r>
        <w:rPr>
          <w:color w:val="1A1A1A"/>
          <w:sz w:val="21"/>
          <w:szCs w:val="21"/>
        </w:rPr>
        <w:t>eets that would not survive a serious forensic examination.</w:t>
      </w:r>
    </w:p>
    <w:p w:rsidR="003B54E3" w:rsidRDefault="00D17610">
      <w:pPr>
        <w:spacing w:before="80" w:after="140" w:line="340" w:lineRule="auto"/>
        <w:jc w:val="both"/>
      </w:pPr>
      <w:r>
        <w:rPr>
          <w:color w:val="1A1A1A"/>
          <w:sz w:val="21"/>
          <w:szCs w:val="21"/>
        </w:rPr>
        <w:t>If a European bank, fund, or critical infrastructure operator is examined today under DORA’s retroactive documentation requirements by BaFin or the ECB, the probability that it can produce technic</w:t>
      </w:r>
      <w:r>
        <w:rPr>
          <w:color w:val="1A1A1A"/>
          <w:sz w:val="21"/>
          <w:szCs w:val="21"/>
        </w:rPr>
        <w:t>ally verifiable, timestamped, tamper-evident proof of transaction-level compliance for the past 36 months is, conservatively, below 20 percent.</w:t>
      </w:r>
    </w:p>
    <w:p w:rsidR="003B54E3" w:rsidRDefault="00D17610">
      <w:pPr>
        <w:spacing w:before="80" w:after="140" w:line="340" w:lineRule="auto"/>
        <w:jc w:val="both"/>
      </w:pPr>
      <w:r>
        <w:rPr>
          <w:b/>
          <w:bCs/>
          <w:color w:val="1A1A1A"/>
          <w:sz w:val="21"/>
          <w:szCs w:val="21"/>
        </w:rPr>
        <w:t>The regulations are in force. Enforcement has begun. The infrastructure is missing.</w:t>
      </w:r>
    </w:p>
    <w:p w:rsidR="003B54E3" w:rsidRDefault="00D17610">
      <w:pPr>
        <w:spacing w:before="480" w:after="120"/>
      </w:pPr>
      <w:r>
        <w:rPr>
          <w:b/>
          <w:bCs/>
          <w:color w:val="1B2A3B"/>
        </w:rPr>
        <w:t>Part II: The Illusion of Dig</w:t>
      </w:r>
      <w:r>
        <w:rPr>
          <w:b/>
          <w:bCs/>
          <w:color w:val="1B2A3B"/>
        </w:rPr>
        <w:t>ital Sovereignty</w:t>
      </w:r>
    </w:p>
    <w:p w:rsidR="003B54E3" w:rsidRDefault="00D17610">
      <w:pPr>
        <w:spacing w:before="80" w:after="140" w:line="340" w:lineRule="auto"/>
        <w:jc w:val="both"/>
      </w:pPr>
      <w:r>
        <w:rPr>
          <w:color w:val="1A1A1A"/>
          <w:sz w:val="21"/>
          <w:szCs w:val="21"/>
        </w:rPr>
        <w:t>Digital sovereignty is not a promise. It is either mathematically enforced or it does not exist.</w:t>
      </w:r>
    </w:p>
    <w:p w:rsidR="003B54E3" w:rsidRDefault="00D17610">
      <w:pPr>
        <w:spacing w:before="80" w:after="140" w:line="340" w:lineRule="auto"/>
        <w:jc w:val="both"/>
      </w:pPr>
      <w:r>
        <w:rPr>
          <w:color w:val="1A1A1A"/>
          <w:sz w:val="21"/>
          <w:szCs w:val="21"/>
        </w:rPr>
        <w:t>The major cloud providers on which European financial and compliance data is processed in substantial volume today are American companies subj</w:t>
      </w:r>
      <w:r>
        <w:rPr>
          <w:color w:val="1A1A1A"/>
          <w:sz w:val="21"/>
          <w:szCs w:val="21"/>
        </w:rPr>
        <w:t>ect to American law, American intelligence oversight, and American foreign policy priorities.</w:t>
      </w:r>
    </w:p>
    <w:p w:rsidR="003B54E3" w:rsidRDefault="00D17610">
      <w:pPr>
        <w:spacing w:before="80" w:after="140" w:line="340" w:lineRule="auto"/>
        <w:jc w:val="both"/>
      </w:pPr>
      <w:r>
        <w:rPr>
          <w:color w:val="1A1A1A"/>
          <w:sz w:val="21"/>
          <w:szCs w:val="21"/>
        </w:rPr>
        <w:t>The US CLOUD Act of 2018 grants US law enforcement agencies the authority to compel US technology companies to produce data, regardless of where that data physica</w:t>
      </w:r>
      <w:r>
        <w:rPr>
          <w:color w:val="1A1A1A"/>
          <w:sz w:val="21"/>
          <w:szCs w:val="21"/>
        </w:rPr>
        <w:t>lly resides. This applies to AWS, Azure, Google Cloud, and every other provider with a US legal entity. Contractual commitments about data sovereignty and EU-specific data residency are exactly that: contractual commitments. The CLOUD Act is a federal stat</w:t>
      </w:r>
      <w:r>
        <w:rPr>
          <w:color w:val="1A1A1A"/>
          <w:sz w:val="21"/>
          <w:szCs w:val="21"/>
        </w:rPr>
        <w:t>ute. When the two conflict, the statute wins.</w:t>
      </w:r>
    </w:p>
    <w:p w:rsidR="003B54E3" w:rsidRDefault="00D17610">
      <w:pPr>
        <w:spacing w:before="80" w:after="140" w:line="340" w:lineRule="auto"/>
        <w:jc w:val="both"/>
      </w:pPr>
      <w:r>
        <w:rPr>
          <w:color w:val="1A1A1A"/>
          <w:sz w:val="21"/>
          <w:szCs w:val="21"/>
        </w:rPr>
        <w:t>Here begins the illusion. Many European institutions believe that by using EU data center locations — whether AWS Frankfurt, Azure Netherlands, or other hyperscaler regions — they possess digital sovereignty. T</w:t>
      </w:r>
      <w:r>
        <w:rPr>
          <w:color w:val="1A1A1A"/>
          <w:sz w:val="21"/>
          <w:szCs w:val="21"/>
        </w:rPr>
        <w:t>his is incorrect. The physical location of the server is irrelevant when the operator is subject to a US legal entity. The US Department of Justice does not direct its requests to the data center. It directs them to the company.</w:t>
      </w:r>
    </w:p>
    <w:p w:rsidR="003B54E3" w:rsidRDefault="00D17610">
      <w:pPr>
        <w:spacing w:before="80" w:after="140" w:line="340" w:lineRule="auto"/>
        <w:jc w:val="both"/>
      </w:pPr>
      <w:r>
        <w:rPr>
          <w:color w:val="1A1A1A"/>
          <w:sz w:val="21"/>
          <w:szCs w:val="21"/>
        </w:rPr>
        <w:t>This also applies to offeri</w:t>
      </w:r>
      <w:r>
        <w:rPr>
          <w:color w:val="1A1A1A"/>
          <w:sz w:val="21"/>
          <w:szCs w:val="21"/>
        </w:rPr>
        <w:t xml:space="preserve">ngs like STACKIT, the cloud service of the Schwarz Group, which positions itself as a dedicated European alternative. STACKIT is a serious and meaningful step in </w:t>
      </w:r>
      <w:r>
        <w:rPr>
          <w:color w:val="1A1A1A"/>
          <w:sz w:val="21"/>
          <w:szCs w:val="21"/>
        </w:rPr>
        <w:lastRenderedPageBreak/>
        <w:t>the right direction: a European company, a European legal framework, GDPR-compliant operations</w:t>
      </w:r>
      <w:r>
        <w:rPr>
          <w:color w:val="1A1A1A"/>
          <w:sz w:val="21"/>
          <w:szCs w:val="21"/>
        </w:rPr>
        <w:t>. But even here the principle holds: sovereignty over data is only complete when the cryptographic keys to that data reside exclusively with the customer and are not reconstructible by the provider. A provider can only hand over what it possesses. If it do</w:t>
      </w:r>
      <w:r>
        <w:rPr>
          <w:color w:val="1A1A1A"/>
          <w:sz w:val="21"/>
          <w:szCs w:val="21"/>
        </w:rPr>
        <w:t>es not possess the key, there is nothing to hand over.</w:t>
      </w:r>
    </w:p>
    <w:p w:rsidR="003B54E3" w:rsidRDefault="00D17610">
      <w:pPr>
        <w:spacing w:before="80" w:after="140" w:line="340" w:lineRule="auto"/>
        <w:jc w:val="both"/>
      </w:pPr>
      <w:r>
        <w:rPr>
          <w:b/>
          <w:bCs/>
          <w:color w:val="1A1A1A"/>
          <w:sz w:val="21"/>
          <w:szCs w:val="21"/>
        </w:rPr>
        <w:t>This is Zero Key Custody. And it is the only principle that technically enforces digital sovereignty instead of contractually promising it.</w:t>
      </w:r>
    </w:p>
    <w:p w:rsidR="003B54E3" w:rsidRDefault="00D17610">
      <w:pPr>
        <w:spacing w:before="80" w:after="140" w:line="340" w:lineRule="auto"/>
        <w:jc w:val="both"/>
      </w:pPr>
      <w:r>
        <w:rPr>
          <w:color w:val="1A1A1A"/>
          <w:sz w:val="21"/>
          <w:szCs w:val="21"/>
        </w:rPr>
        <w:t>In the immo.quick architecture, cryptographic signing keys ne</w:t>
      </w:r>
      <w:r>
        <w:rPr>
          <w:color w:val="1A1A1A"/>
          <w:sz w:val="21"/>
          <w:szCs w:val="21"/>
        </w:rPr>
        <w:t>ver leave the customer’s own infrastructure. They are split using 2-of-3 Shamir Secret Sharing across three geographically separated locations, all within EU jurisdiction, all under the sole control of the customer. The US Department of Justice can send ev</w:t>
      </w:r>
      <w:r>
        <w:rPr>
          <w:color w:val="1A1A1A"/>
          <w:sz w:val="21"/>
          <w:szCs w:val="21"/>
        </w:rPr>
        <w:t>ery conceivable order to every infrastructure provider that touches our edge infrastructure. There is nothing to hand over. The keys simply do not exist on infrastructure subject to CLOUD Act jurisdiction.</w:t>
      </w:r>
    </w:p>
    <w:p w:rsidR="003B54E3" w:rsidRDefault="00D17610">
      <w:pPr>
        <w:spacing w:before="80" w:after="140" w:line="340" w:lineRule="auto"/>
        <w:jc w:val="both"/>
      </w:pPr>
      <w:r>
        <w:rPr>
          <w:b/>
          <w:bCs/>
          <w:color w:val="1A1A1A"/>
          <w:sz w:val="21"/>
          <w:szCs w:val="21"/>
        </w:rPr>
        <w:t>This is not a marketing statement. This is mathema</w:t>
      </w:r>
      <w:r>
        <w:rPr>
          <w:b/>
          <w:bCs/>
          <w:color w:val="1A1A1A"/>
          <w:sz w:val="21"/>
          <w:szCs w:val="21"/>
        </w:rPr>
        <w:t>tics.</w:t>
      </w:r>
    </w:p>
    <w:p w:rsidR="003B54E3" w:rsidRDefault="00D17610">
      <w:pPr>
        <w:spacing w:before="80" w:after="140" w:line="340" w:lineRule="auto"/>
        <w:jc w:val="both"/>
      </w:pPr>
      <w:r>
        <w:rPr>
          <w:color w:val="1A1A1A"/>
          <w:sz w:val="21"/>
          <w:szCs w:val="21"/>
        </w:rPr>
        <w:t>We are asking the BSI and the European Commission to establish Zero Key Custody as a mandatory requirement for any compliance infrastructure that processes regulated financial data within the European Union.</w:t>
      </w:r>
    </w:p>
    <w:p w:rsidR="003B54E3" w:rsidRDefault="00D17610">
      <w:pPr>
        <w:spacing w:before="480" w:after="120"/>
      </w:pPr>
      <w:r>
        <w:rPr>
          <w:b/>
          <w:bCs/>
          <w:color w:val="1B2A3B"/>
        </w:rPr>
        <w:t xml:space="preserve">Part III: The New BSI Mandate and Why Our </w:t>
      </w:r>
      <w:r>
        <w:rPr>
          <w:b/>
          <w:bCs/>
          <w:color w:val="1B2A3B"/>
        </w:rPr>
        <w:t>Architecture Delivers Exactly What Was Ordered</w:t>
      </w:r>
    </w:p>
    <w:p w:rsidR="003B54E3" w:rsidRDefault="00D17610">
      <w:pPr>
        <w:spacing w:before="80" w:after="140" w:line="340" w:lineRule="auto"/>
        <w:jc w:val="both"/>
      </w:pPr>
      <w:r>
        <w:rPr>
          <w:color w:val="1A1A1A"/>
          <w:sz w:val="21"/>
          <w:szCs w:val="21"/>
        </w:rPr>
        <w:t xml:space="preserve">The AI Implementation and Market Surveillance Act, passed by the German Bundestag in June 2026, assigns the BSI and the Federal Network Agency an explicit, central role in the market surveillance of high-risk </w:t>
      </w:r>
      <w:r>
        <w:rPr>
          <w:color w:val="1A1A1A"/>
          <w:sz w:val="21"/>
          <w:szCs w:val="21"/>
        </w:rPr>
        <w:t>AI systems. The BSI thereby assumes a function that goes considerably beyond previous certification tasks: it must be able to ensure the technical supervisability of these systems.</w:t>
      </w:r>
    </w:p>
    <w:p w:rsidR="003B54E3" w:rsidRDefault="00D17610">
      <w:pPr>
        <w:spacing w:before="80" w:after="140" w:line="340" w:lineRule="auto"/>
        <w:jc w:val="both"/>
      </w:pPr>
      <w:r>
        <w:rPr>
          <w:color w:val="1A1A1A"/>
          <w:sz w:val="21"/>
          <w:szCs w:val="21"/>
        </w:rPr>
        <w:t>The demand for technical supervisability presupposes that supervisable evid</w:t>
      </w:r>
      <w:r>
        <w:rPr>
          <w:color w:val="1A1A1A"/>
          <w:sz w:val="21"/>
          <w:szCs w:val="21"/>
        </w:rPr>
        <w:t>ence exists. An AI system that does not document its decisions in immutable, timestamped, cryptographically attested form cannot be effectively overseen by the BSI regardless of how well-resourced the authority is.</w:t>
      </w:r>
    </w:p>
    <w:p w:rsidR="003B54E3" w:rsidRDefault="00D17610">
      <w:pPr>
        <w:spacing w:before="80" w:after="140" w:line="340" w:lineRule="auto"/>
        <w:jc w:val="both"/>
      </w:pPr>
      <w:r>
        <w:rPr>
          <w:color w:val="1A1A1A"/>
          <w:sz w:val="21"/>
          <w:szCs w:val="21"/>
        </w:rPr>
        <w:t>The immo.quick Sovereign Compliance Engin</w:t>
      </w:r>
      <w:r>
        <w:rPr>
          <w:color w:val="1A1A1A"/>
          <w:sz w:val="21"/>
          <w:szCs w:val="21"/>
        </w:rPr>
        <w:t xml:space="preserve">e does not use AI for compliance decisions. It uses deterministic, purely mathematical functions. 67 legal rules encoded as immutable code. Zero probabilistic inference. Zero machine learning in the decision path. Every outcome is fully explainable, fully </w:t>
      </w:r>
      <w:r>
        <w:rPr>
          <w:color w:val="1A1A1A"/>
          <w:sz w:val="21"/>
          <w:szCs w:val="21"/>
        </w:rPr>
        <w:t>reproducible, and fully auditable.</w:t>
      </w:r>
    </w:p>
    <w:p w:rsidR="003B54E3" w:rsidRDefault="00D17610">
      <w:pPr>
        <w:spacing w:before="80" w:after="140" w:line="340" w:lineRule="auto"/>
        <w:jc w:val="both"/>
      </w:pPr>
      <w:r>
        <w:rPr>
          <w:color w:val="1A1A1A"/>
          <w:sz w:val="21"/>
          <w:szCs w:val="21"/>
        </w:rPr>
        <w:t>But the system creates precisely what the BSI’s new oversight mandate structurally requires: the evidentiary substrate on which supervision can actually be technically grounded. Every check, every decision, every rule app</w:t>
      </w:r>
      <w:r>
        <w:rPr>
          <w:color w:val="1A1A1A"/>
          <w:sz w:val="21"/>
          <w:szCs w:val="21"/>
        </w:rPr>
        <w:t>lication produces a cryptographically signed, tamper-evident Receipt. That Receipt is the audit trail that the AI Act’s oversight regime demands.</w:t>
      </w:r>
    </w:p>
    <w:p w:rsidR="003B54E3" w:rsidRDefault="00D17610">
      <w:pPr>
        <w:spacing w:before="80" w:after="140" w:line="340" w:lineRule="auto"/>
        <w:jc w:val="both"/>
      </w:pPr>
      <w:r>
        <w:rPr>
          <w:color w:val="1A1A1A"/>
          <w:sz w:val="21"/>
          <w:szCs w:val="21"/>
        </w:rPr>
        <w:lastRenderedPageBreak/>
        <w:t>If the BSI is now responsible for market surveillance of high-risk AI systems, it needs the ability to examine</w:t>
      </w:r>
      <w:r>
        <w:rPr>
          <w:color w:val="1A1A1A"/>
          <w:sz w:val="21"/>
          <w:szCs w:val="21"/>
        </w:rPr>
        <w:t xml:space="preserve"> the compliance records of those systems. Those records must be technically verifiable. They must be timestamped in a way that cannot be retroactively altered. They must reference the exact version of the rule that was applied.</w:t>
      </w:r>
    </w:p>
    <w:p w:rsidR="003B54E3" w:rsidRDefault="00D17610">
      <w:pPr>
        <w:spacing w:before="80" w:after="140" w:line="340" w:lineRule="auto"/>
        <w:jc w:val="both"/>
      </w:pPr>
      <w:r>
        <w:rPr>
          <w:color w:val="1A1A1A"/>
          <w:sz w:val="21"/>
          <w:szCs w:val="21"/>
        </w:rPr>
        <w:t>That is precisely what our R</w:t>
      </w:r>
      <w:r>
        <w:rPr>
          <w:color w:val="1A1A1A"/>
          <w:sz w:val="21"/>
          <w:szCs w:val="21"/>
        </w:rPr>
        <w:t>eceipt architecture produces. For every transaction. In under fifty milliseconds.</w:t>
      </w:r>
    </w:p>
    <w:p w:rsidR="003B54E3" w:rsidRDefault="00D17610">
      <w:pPr>
        <w:spacing w:before="80" w:after="140" w:line="340" w:lineRule="auto"/>
        <w:jc w:val="both"/>
      </w:pPr>
      <w:r>
        <w:rPr>
          <w:color w:val="1A1A1A"/>
          <w:sz w:val="21"/>
          <w:szCs w:val="21"/>
        </w:rPr>
        <w:t>We are asking the BSI to examine our architecture as a reference implementation for the evidentiary requirements of the new AI oversight mandate.</w:t>
      </w:r>
    </w:p>
    <w:p w:rsidR="003B54E3" w:rsidRDefault="00D17610">
      <w:r>
        <w:br w:type="page"/>
      </w:r>
    </w:p>
    <w:p w:rsidR="003B54E3" w:rsidRDefault="00D17610">
      <w:pPr>
        <w:spacing w:before="480" w:after="120"/>
      </w:pPr>
      <w:r>
        <w:rPr>
          <w:b/>
          <w:bCs/>
          <w:color w:val="1B2A3B"/>
        </w:rPr>
        <w:lastRenderedPageBreak/>
        <w:t>Part IV: What a Receipt Is</w:t>
      </w:r>
      <w:r>
        <w:rPr>
          <w:b/>
          <w:bCs/>
          <w:color w:val="1B2A3B"/>
        </w:rPr>
        <w:t>, What It Contains, and Why It Still Holds Up in Court Thirty Years From Now</w:t>
      </w:r>
    </w:p>
    <w:p w:rsidR="003B54E3" w:rsidRDefault="00D17610">
      <w:pPr>
        <w:spacing w:before="80" w:after="140" w:line="340" w:lineRule="auto"/>
        <w:jc w:val="both"/>
      </w:pPr>
      <w:r>
        <w:rPr>
          <w:color w:val="1A1A1A"/>
          <w:sz w:val="21"/>
          <w:szCs w:val="21"/>
        </w:rPr>
        <w:t>When an institution submits a transaction for compliance verification, the following happens:</w:t>
      </w:r>
    </w:p>
    <w:p w:rsidR="003B54E3" w:rsidRDefault="00D17610">
      <w:pPr>
        <w:spacing w:before="80" w:after="140" w:line="340" w:lineRule="auto"/>
        <w:jc w:val="both"/>
      </w:pPr>
      <w:r>
        <w:rPr>
          <w:color w:val="1A1A1A"/>
          <w:sz w:val="21"/>
          <w:szCs w:val="21"/>
        </w:rPr>
        <w:t>The system creates a snapshot of the input, hashes it with SHA-256, and records exactly what was checked. It then runs that input through seven sequential verification gates.</w:t>
      </w:r>
    </w:p>
    <w:p w:rsidR="003B54E3" w:rsidRDefault="00D17610">
      <w:pPr>
        <w:spacing w:before="80" w:after="140" w:line="340" w:lineRule="auto"/>
        <w:jc w:val="both"/>
      </w:pPr>
      <w:r>
        <w:rPr>
          <w:color w:val="1A1A1A"/>
          <w:sz w:val="21"/>
          <w:szCs w:val="21"/>
        </w:rPr>
        <w:t xml:space="preserve">Gate 1 validates the legal identity of the counterparty against the GLEIF Global </w:t>
      </w:r>
      <w:r>
        <w:rPr>
          <w:color w:val="1A1A1A"/>
          <w:sz w:val="21"/>
          <w:szCs w:val="21"/>
        </w:rPr>
        <w:t>LEI Index, the authoritative public registry of 2.1 million legal entities worldwide.</w:t>
      </w:r>
    </w:p>
    <w:p w:rsidR="003B54E3" w:rsidRDefault="00D17610">
      <w:pPr>
        <w:spacing w:before="80" w:after="140" w:line="340" w:lineRule="auto"/>
        <w:jc w:val="both"/>
      </w:pPr>
      <w:r>
        <w:rPr>
          <w:color w:val="1A1A1A"/>
          <w:sz w:val="21"/>
          <w:szCs w:val="21"/>
        </w:rPr>
        <w:t>Gate 2 checks for sanctions exposure against the EU Sanctions Map, the OFAC SDN list of the US Treasury, OpenSanctions with its 337 source databases, and the consolidated</w:t>
      </w:r>
      <w:r>
        <w:rPr>
          <w:color w:val="1A1A1A"/>
          <w:sz w:val="21"/>
          <w:szCs w:val="21"/>
        </w:rPr>
        <w:t xml:space="preserve"> UN sanctions list.</w:t>
      </w:r>
    </w:p>
    <w:p w:rsidR="003B54E3" w:rsidRDefault="00D17610">
      <w:pPr>
        <w:spacing w:before="80" w:after="140" w:line="340" w:lineRule="auto"/>
        <w:jc w:val="both"/>
      </w:pPr>
      <w:r>
        <w:rPr>
          <w:color w:val="1A1A1A"/>
          <w:sz w:val="21"/>
          <w:szCs w:val="21"/>
        </w:rPr>
        <w:t>Gate 3 applies all applicable legal rules based on jurisdiction, transaction type, and entity classification — GwG, DORA, AMLD6, PSD3, KWG, FINMA, and more, simultaneously, in milliseconds.</w:t>
      </w:r>
    </w:p>
    <w:p w:rsidR="003B54E3" w:rsidRDefault="00D17610">
      <w:pPr>
        <w:spacing w:before="80" w:after="140" w:line="340" w:lineRule="auto"/>
        <w:jc w:val="both"/>
      </w:pPr>
      <w:r>
        <w:rPr>
          <w:color w:val="1A1A1A"/>
          <w:sz w:val="21"/>
          <w:szCs w:val="21"/>
        </w:rPr>
        <w:t xml:space="preserve">Gate 4 calculates a composite risk score from </w:t>
      </w:r>
      <w:r>
        <w:rPr>
          <w:color w:val="1A1A1A"/>
          <w:sz w:val="21"/>
          <w:szCs w:val="21"/>
        </w:rPr>
        <w:t>jurisdiction risk, ownership transparency, and historical patterns.</w:t>
      </w:r>
    </w:p>
    <w:p w:rsidR="003B54E3" w:rsidRDefault="00D17610">
      <w:pPr>
        <w:spacing w:before="80" w:after="140" w:line="340" w:lineRule="auto"/>
        <w:jc w:val="both"/>
      </w:pPr>
      <w:r>
        <w:rPr>
          <w:color w:val="1A1A1A"/>
          <w:sz w:val="21"/>
          <w:szCs w:val="21"/>
        </w:rPr>
        <w:t>Gate 5 triggers dual-approval obligations when the risk score exceeds defined thresholds.</w:t>
      </w:r>
    </w:p>
    <w:p w:rsidR="003B54E3" w:rsidRDefault="00D17610">
      <w:pPr>
        <w:spacing w:before="80" w:after="140" w:line="340" w:lineRule="auto"/>
        <w:jc w:val="both"/>
      </w:pPr>
      <w:r>
        <w:rPr>
          <w:color w:val="1A1A1A"/>
          <w:sz w:val="21"/>
          <w:szCs w:val="21"/>
        </w:rPr>
        <w:t>Gate 6 writes an immutable witness record.</w:t>
      </w:r>
    </w:p>
    <w:p w:rsidR="003B54E3" w:rsidRDefault="00D17610">
      <w:pPr>
        <w:spacing w:before="80" w:after="140" w:line="340" w:lineRule="auto"/>
        <w:jc w:val="both"/>
      </w:pPr>
      <w:r>
        <w:rPr>
          <w:color w:val="1A1A1A"/>
          <w:sz w:val="21"/>
          <w:szCs w:val="21"/>
        </w:rPr>
        <w:t>Gate 7 issues the Receipt and zeroes the working memory.</w:t>
      </w:r>
    </w:p>
    <w:p w:rsidR="003B54E3" w:rsidRDefault="00D17610">
      <w:pPr>
        <w:spacing w:before="80" w:after="140" w:line="340" w:lineRule="auto"/>
        <w:jc w:val="both"/>
      </w:pPr>
      <w:r>
        <w:rPr>
          <w:color w:val="1A1A1A"/>
          <w:sz w:val="21"/>
          <w:szCs w:val="21"/>
        </w:rPr>
        <w:t>The Receipt that emerges from this process contains: the exact timestamp in TAI64N format, a monotonic timescale that cannot be manipulated by local clock drift or timezone adjustments; the SHA-256 h</w:t>
      </w:r>
      <w:r>
        <w:rPr>
          <w:color w:val="1A1A1A"/>
          <w:sz w:val="21"/>
          <w:szCs w:val="21"/>
        </w:rPr>
        <w:t>ash of all input parameters; the version hash of every legal rule applied; the decision of each individual gate; the composite risk score; an HMAC-SHA256 signature over the entire output; and a chain link to the previous Receipt in the sequence, creating a</w:t>
      </w:r>
      <w:r>
        <w:rPr>
          <w:color w:val="1A1A1A"/>
          <w:sz w:val="21"/>
          <w:szCs w:val="21"/>
        </w:rPr>
        <w:t xml:space="preserve"> Merkle-Chain in which no single record can be altered without invalidating all subsequent ones.</w:t>
      </w:r>
    </w:p>
    <w:p w:rsidR="003B54E3" w:rsidRDefault="00D17610">
      <w:pPr>
        <w:spacing w:before="80" w:after="140" w:line="340" w:lineRule="auto"/>
        <w:jc w:val="both"/>
      </w:pPr>
      <w:r>
        <w:rPr>
          <w:color w:val="1A1A1A"/>
          <w:sz w:val="21"/>
          <w:szCs w:val="21"/>
        </w:rPr>
        <w:t>A simplified structural example of such a Receipt:</w:t>
      </w:r>
    </w:p>
    <w:p w:rsidR="003B54E3" w:rsidRDefault="003B54E3"/>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RECEIPT:             SLE-2026-00003847</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TIMESTAMP:           400000006849a1c3 (TAI64N)</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 xml:space="preserve">ENTITY:              </w:t>
      </w:r>
      <w:r>
        <w:rPr>
          <w:rFonts w:ascii="Courier New" w:eastAsia="Courier New" w:hAnsi="Courier New" w:cs="Courier New"/>
          <w:color w:val="2E4057"/>
          <w:sz w:val="18"/>
          <w:szCs w:val="18"/>
        </w:rPr>
        <w:t>Deutsche Industrieholding GmbH</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LEI:                 5299001XXXXXXXXXXXXXX (GLEIF verified)</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GATE_1:              PASS — LEI active, entity registered</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GATE_2:              PASS — no sanctions match (EU/OFAC/UN/OpenSanctions)</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GATE_3:              WARN — GwG §</w:t>
      </w:r>
      <w:r>
        <w:rPr>
          <w:rFonts w:ascii="Courier New" w:eastAsia="Courier New" w:hAnsi="Courier New" w:cs="Courier New"/>
          <w:color w:val="2E4057"/>
          <w:sz w:val="18"/>
          <w:szCs w:val="18"/>
        </w:rPr>
        <w:t>10 EDD triggered (threshold exceeded)</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GATE_4:              RISK_SCORE: 0.62 / LEVEL: MEDIUM</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GATE_5:              DUAL_APPROVAL: not required (score &lt; 0.70)</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GATE_6:              WITNESS_HASH: a3f7c9d2...</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GATE_7:              ISSUED</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RULE_VERSION_HASH:   8b2d</w:t>
      </w:r>
      <w:r>
        <w:rPr>
          <w:rFonts w:ascii="Courier New" w:eastAsia="Courier New" w:hAnsi="Courier New" w:cs="Courier New"/>
          <w:color w:val="2E4057"/>
          <w:sz w:val="18"/>
          <w:szCs w:val="18"/>
        </w:rPr>
        <w:t>14f1...</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PREV_RECEIPT_HASH:   4e91f2a7...</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lastRenderedPageBreak/>
        <w:t>HMAC_SHA256:         c7f3a19b...</w:t>
      </w:r>
    </w:p>
    <w:p w:rsidR="003B54E3" w:rsidRDefault="00D17610">
      <w:pPr>
        <w:shd w:val="clear" w:color="auto" w:fill="F7F9FB"/>
        <w:spacing w:before="60" w:after="60" w:line="300" w:lineRule="auto"/>
        <w:ind w:left="720"/>
      </w:pPr>
      <w:r>
        <w:rPr>
          <w:rFonts w:ascii="Courier New" w:eastAsia="Courier New" w:hAnsi="Courier New" w:cs="Courier New"/>
          <w:color w:val="2E4057"/>
          <w:sz w:val="18"/>
          <w:szCs w:val="18"/>
        </w:rPr>
        <w:t>PROCESSING_TIME:     41ms</w:t>
      </w:r>
    </w:p>
    <w:p w:rsidR="003B54E3" w:rsidRDefault="003B54E3"/>
    <w:p w:rsidR="003B54E3" w:rsidRDefault="00D17610">
      <w:pPr>
        <w:spacing w:before="80" w:after="140" w:line="340" w:lineRule="auto"/>
        <w:jc w:val="both"/>
      </w:pPr>
      <w:r>
        <w:rPr>
          <w:color w:val="1A1A1A"/>
          <w:sz w:val="21"/>
          <w:szCs w:val="21"/>
        </w:rPr>
        <w:t xml:space="preserve">This Receipt can be verified by anyone, anywhere, at any time, without access to our infrastructure, without an internet connection, without immo.quick existing as a company. Verification requires only the public key and a standard SHA-256 implementation. </w:t>
      </w:r>
      <w:r>
        <w:rPr>
          <w:color w:val="1A1A1A"/>
          <w:sz w:val="21"/>
          <w:szCs w:val="21"/>
        </w:rPr>
        <w:t>The Receipt is a self-contained proof.</w:t>
      </w:r>
    </w:p>
    <w:p w:rsidR="003B54E3" w:rsidRDefault="00D17610">
      <w:pPr>
        <w:spacing w:before="80" w:after="140" w:line="340" w:lineRule="auto"/>
        <w:jc w:val="both"/>
      </w:pPr>
      <w:r>
        <w:rPr>
          <w:b/>
          <w:bCs/>
          <w:color w:val="1A1A1A"/>
          <w:sz w:val="21"/>
          <w:szCs w:val="21"/>
        </w:rPr>
        <w:t>This means a Receipt issued in 2026 is mathematically verifiable in 2036, 2046, 2056. Not because we promise to keep the servers running. Because the mathematics does not expire.</w:t>
      </w:r>
    </w:p>
    <w:p w:rsidR="003B54E3" w:rsidRDefault="00D17610">
      <w:pPr>
        <w:spacing w:before="480" w:after="120"/>
      </w:pPr>
      <w:r>
        <w:rPr>
          <w:b/>
          <w:bCs/>
          <w:color w:val="1B2A3B"/>
        </w:rPr>
        <w:t>Part V: How We Use Public Data to Prov</w:t>
      </w:r>
      <w:r>
        <w:rPr>
          <w:b/>
          <w:bCs/>
          <w:color w:val="1B2A3B"/>
        </w:rPr>
        <w:t>e the System Works</w:t>
      </w:r>
    </w:p>
    <w:p w:rsidR="003B54E3" w:rsidRDefault="00D17610">
      <w:pPr>
        <w:spacing w:before="80" w:after="140" w:line="340" w:lineRule="auto"/>
        <w:jc w:val="both"/>
      </w:pPr>
      <w:r>
        <w:rPr>
          <w:color w:val="1A1A1A"/>
          <w:sz w:val="21"/>
          <w:szCs w:val="21"/>
        </w:rPr>
        <w:t>We are a compliance infrastructure provider. Our clients are banks, funds, PropTech platforms, notaries. Their transaction data is confidential and rightfully so.</w:t>
      </w:r>
    </w:p>
    <w:p w:rsidR="003B54E3" w:rsidRDefault="00D17610">
      <w:pPr>
        <w:spacing w:before="80" w:after="140" w:line="340" w:lineRule="auto"/>
        <w:jc w:val="both"/>
      </w:pPr>
      <w:r>
        <w:rPr>
          <w:color w:val="1A1A1A"/>
          <w:sz w:val="21"/>
          <w:szCs w:val="21"/>
        </w:rPr>
        <w:t>But the infrastructure itself must be provably functional without us discl</w:t>
      </w:r>
      <w:r>
        <w:rPr>
          <w:color w:val="1A1A1A"/>
          <w:sz w:val="21"/>
          <w:szCs w:val="21"/>
        </w:rPr>
        <w:t>osing customer data.</w:t>
      </w:r>
    </w:p>
    <w:p w:rsidR="003B54E3" w:rsidRDefault="00D17610">
      <w:pPr>
        <w:spacing w:before="80" w:after="140" w:line="340" w:lineRule="auto"/>
        <w:jc w:val="both"/>
      </w:pPr>
      <w:r>
        <w:rPr>
          <w:color w:val="1A1A1A"/>
          <w:sz w:val="21"/>
          <w:szCs w:val="21"/>
        </w:rPr>
        <w:t xml:space="preserve">This is why we generate and publish proof Receipts based on entirely public data. We process publicly registered legal entities from the GLEIF registry, check them against publicly accessible sanctions lists, apply publicly documented </w:t>
      </w:r>
      <w:r>
        <w:rPr>
          <w:color w:val="1A1A1A"/>
          <w:sz w:val="21"/>
          <w:szCs w:val="21"/>
        </w:rPr>
        <w:t>legal rules, and produce a complete, cryptographically signed Receipt for each of these checks.</w:t>
      </w:r>
    </w:p>
    <w:p w:rsidR="003B54E3" w:rsidRDefault="00D17610">
      <w:pPr>
        <w:spacing w:before="80" w:after="140" w:line="340" w:lineRule="auto"/>
        <w:jc w:val="both"/>
      </w:pPr>
      <w:r>
        <w:rPr>
          <w:color w:val="1A1A1A"/>
          <w:sz w:val="21"/>
          <w:szCs w:val="21"/>
        </w:rPr>
        <w:t>Any regulator, auditor, or independent expert can download these Receipts, verify them locally, and inspect the integrity of the complete chain. The source data</w:t>
      </w:r>
      <w:r>
        <w:rPr>
          <w:color w:val="1A1A1A"/>
          <w:sz w:val="21"/>
          <w:szCs w:val="21"/>
        </w:rPr>
        <w:t xml:space="preserve"> is public. The rules are documented. The result is reproducible.</w:t>
      </w:r>
    </w:p>
    <w:p w:rsidR="003B54E3" w:rsidRDefault="00D17610">
      <w:pPr>
        <w:spacing w:before="80" w:after="140" w:line="340" w:lineRule="auto"/>
        <w:jc w:val="both"/>
      </w:pPr>
      <w:r>
        <w:rPr>
          <w:color w:val="1A1A1A"/>
          <w:sz w:val="21"/>
          <w:szCs w:val="21"/>
        </w:rPr>
        <w:t>This is not a demonstration system. It is proof of method. The distinction is critical: we are not showing how the system looks in a laboratory environment. We are producing genuine cryptogr</w:t>
      </w:r>
      <w:r>
        <w:rPr>
          <w:color w:val="1A1A1A"/>
          <w:sz w:val="21"/>
          <w:szCs w:val="21"/>
        </w:rPr>
        <w:t>aphic proofs based on genuine public data that can be independently verified by anyone who wishes to do so.</w:t>
      </w:r>
    </w:p>
    <w:p w:rsidR="003B54E3" w:rsidRDefault="00D17610">
      <w:pPr>
        <w:spacing w:before="80" w:after="140" w:line="340" w:lineRule="auto"/>
        <w:jc w:val="both"/>
      </w:pPr>
      <w:r>
        <w:rPr>
          <w:color w:val="1A1A1A"/>
          <w:sz w:val="21"/>
          <w:szCs w:val="21"/>
        </w:rPr>
        <w:t>Companies like Wirecard AG, entities with lapsed LEI status, companies with historical enforcement proceedings — they are all documented in the publ</w:t>
      </w:r>
      <w:r>
        <w:rPr>
          <w:color w:val="1A1A1A"/>
          <w:sz w:val="21"/>
          <w:szCs w:val="21"/>
        </w:rPr>
        <w:t>ic registry. Our pipeline treats them exactly as it would treat real transactions. The result is a Receipt that does not claim the system works. It proves it.</w:t>
      </w:r>
    </w:p>
    <w:p w:rsidR="003B54E3" w:rsidRDefault="00D17610">
      <w:r>
        <w:br w:type="page"/>
      </w:r>
    </w:p>
    <w:p w:rsidR="003B54E3" w:rsidRDefault="00D17610">
      <w:pPr>
        <w:spacing w:before="480" w:after="120"/>
      </w:pPr>
      <w:r>
        <w:rPr>
          <w:b/>
          <w:bCs/>
          <w:color w:val="1B2A3B"/>
        </w:rPr>
        <w:lastRenderedPageBreak/>
        <w:t>Part VI: Post-Quantum Security and the Timeline Most Institutions Are Ignoring</w:t>
      </w:r>
    </w:p>
    <w:p w:rsidR="003B54E3" w:rsidRDefault="00D17610">
      <w:pPr>
        <w:spacing w:before="80" w:after="140" w:line="340" w:lineRule="auto"/>
        <w:jc w:val="both"/>
      </w:pPr>
      <w:r>
        <w:rPr>
          <w:color w:val="1A1A1A"/>
          <w:sz w:val="21"/>
          <w:szCs w:val="21"/>
        </w:rPr>
        <w:t xml:space="preserve">The US National </w:t>
      </w:r>
      <w:r>
        <w:rPr>
          <w:color w:val="1A1A1A"/>
          <w:sz w:val="21"/>
          <w:szCs w:val="21"/>
        </w:rPr>
        <w:t>Institute of Standards and Technology finalized its post-quantum cryptography standards in 2024. FIPS 203 for CRYSTALS-Kyber for key encapsulation. FIPS 204 for CRYSTALS-Dilithium for digital signatures. FIPS 205 for SPHINCS+ as a stateless hash-based alte</w:t>
      </w:r>
      <w:r>
        <w:rPr>
          <w:color w:val="1A1A1A"/>
          <w:sz w:val="21"/>
          <w:szCs w:val="21"/>
        </w:rPr>
        <w:t>rnative.</w:t>
      </w:r>
    </w:p>
    <w:p w:rsidR="003B54E3" w:rsidRDefault="00D17610">
      <w:pPr>
        <w:spacing w:before="80" w:after="140" w:line="340" w:lineRule="auto"/>
        <w:jc w:val="both"/>
      </w:pPr>
      <w:r>
        <w:rPr>
          <w:color w:val="1A1A1A"/>
          <w:sz w:val="21"/>
          <w:szCs w:val="21"/>
        </w:rPr>
        <w:t>The NIS2 Directive requires member states and critical infrastructure operators to implement state-of-the-art cryptographic measures. ENISA’s 2025 guidance explicitly names post-quantum readiness as a near-term mandatory requirement.</w:t>
      </w:r>
    </w:p>
    <w:p w:rsidR="003B54E3" w:rsidRDefault="00D17610">
      <w:pPr>
        <w:spacing w:before="80" w:after="140" w:line="340" w:lineRule="auto"/>
        <w:jc w:val="both"/>
      </w:pPr>
      <w:r>
        <w:rPr>
          <w:color w:val="1A1A1A"/>
          <w:sz w:val="21"/>
          <w:szCs w:val="21"/>
        </w:rPr>
        <w:t>The threat mo</w:t>
      </w:r>
      <w:r>
        <w:rPr>
          <w:color w:val="1A1A1A"/>
          <w:sz w:val="21"/>
          <w:szCs w:val="21"/>
        </w:rPr>
        <w:t>del is called “harvest now, decrypt later.” State-level actors are collecting encrypted data today with the intention of decrypting it once sufficiently powerful quantum computers are available. NIST and leading intelligence agencies estimate this timeline</w:t>
      </w:r>
      <w:r>
        <w:rPr>
          <w:color w:val="1A1A1A"/>
          <w:sz w:val="21"/>
          <w:szCs w:val="21"/>
        </w:rPr>
        <w:t xml:space="preserve"> at between seven and fifteen years.</w:t>
      </w:r>
    </w:p>
    <w:p w:rsidR="003B54E3" w:rsidRDefault="00D17610">
      <w:pPr>
        <w:spacing w:before="80" w:after="140" w:line="340" w:lineRule="auto"/>
        <w:jc w:val="both"/>
      </w:pPr>
      <w:r>
        <w:rPr>
          <w:color w:val="1A1A1A"/>
          <w:sz w:val="21"/>
          <w:szCs w:val="21"/>
        </w:rPr>
        <w:t>This means compliance documentation created today using RSA-2048 or standard ECDSA signatures may be decryptable by adversarial actors within the operational lifetime of the documents themselves.</w:t>
      </w:r>
    </w:p>
    <w:p w:rsidR="003B54E3" w:rsidRDefault="00D17610">
      <w:pPr>
        <w:spacing w:before="80" w:after="140" w:line="340" w:lineRule="auto"/>
        <w:jc w:val="both"/>
      </w:pPr>
      <w:r>
        <w:rPr>
          <w:color w:val="1A1A1A"/>
          <w:sz w:val="21"/>
          <w:szCs w:val="21"/>
        </w:rPr>
        <w:t>The immo.quick architecture integrates CRYSTALS-Kyber and CRYSTALS-Dilithium in parallel with the classical HMAC-SHA256 chain. Hybrid protection means an attacker must break both algorithms simultaneously. We are not only secure today. We are already harde</w:t>
      </w:r>
      <w:r>
        <w:rPr>
          <w:color w:val="1A1A1A"/>
          <w:sz w:val="21"/>
          <w:szCs w:val="21"/>
        </w:rPr>
        <w:t>ned against decryption by future quantum computers.</w:t>
      </w:r>
    </w:p>
    <w:p w:rsidR="003B54E3" w:rsidRDefault="00D17610">
      <w:pPr>
        <w:spacing w:before="80" w:after="140" w:line="340" w:lineRule="auto"/>
        <w:jc w:val="both"/>
      </w:pPr>
      <w:r>
        <w:rPr>
          <w:color w:val="1A1A1A"/>
          <w:sz w:val="21"/>
          <w:szCs w:val="21"/>
        </w:rPr>
        <w:t>We are asking ENISA and the BSI to establish post-quantum hybrid signatures as a mandatory requirement for regulated compliance documentation, with a clear and enforceable timeline, because institutions t</w:t>
      </w:r>
      <w:r>
        <w:rPr>
          <w:color w:val="1A1A1A"/>
          <w:sz w:val="21"/>
          <w:szCs w:val="21"/>
        </w:rPr>
        <w:t>hat delay this transition are building legal liability exposure they do not yet fully understand.</w:t>
      </w:r>
    </w:p>
    <w:p w:rsidR="003B54E3" w:rsidRDefault="00D17610">
      <w:pPr>
        <w:spacing w:before="480" w:after="120"/>
      </w:pPr>
      <w:r>
        <w:rPr>
          <w:b/>
          <w:bCs/>
          <w:color w:val="1B2A3B"/>
        </w:rPr>
        <w:t>Part VII: Liability Exculpation and What Receipts Have to Do With It</w:t>
      </w:r>
    </w:p>
    <w:p w:rsidR="003B54E3" w:rsidRDefault="00D17610">
      <w:pPr>
        <w:spacing w:before="80" w:after="140" w:line="340" w:lineRule="auto"/>
        <w:jc w:val="both"/>
      </w:pPr>
      <w:r>
        <w:rPr>
          <w:color w:val="1A1A1A"/>
          <w:sz w:val="21"/>
          <w:szCs w:val="21"/>
        </w:rPr>
        <w:t xml:space="preserve">Section 25b of the German Banking Act establishes that a financial institution which has </w:t>
      </w:r>
      <w:r>
        <w:rPr>
          <w:color w:val="1A1A1A"/>
          <w:sz w:val="21"/>
          <w:szCs w:val="21"/>
        </w:rPr>
        <w:t>implemented appropriate processes, technical systems, and controls for identifying, assessing, and mitigating compliance risks has fulfilled its organizational duty of care.</w:t>
      </w:r>
    </w:p>
    <w:p w:rsidR="003B54E3" w:rsidRDefault="00D17610">
      <w:pPr>
        <w:spacing w:before="80" w:after="140" w:line="340" w:lineRule="auto"/>
        <w:jc w:val="both"/>
      </w:pPr>
      <w:r>
        <w:rPr>
          <w:color w:val="1A1A1A"/>
          <w:sz w:val="21"/>
          <w:szCs w:val="21"/>
        </w:rPr>
        <w:t>DORA Article 17 establishes that institutions must be able to demonstrate technica</w:t>
      </w:r>
      <w:r>
        <w:rPr>
          <w:color w:val="1A1A1A"/>
          <w:sz w:val="21"/>
          <w:szCs w:val="21"/>
        </w:rPr>
        <w:t>lly that they had appropriate operational resilience measures in place at the time of any incident.</w:t>
      </w:r>
    </w:p>
    <w:p w:rsidR="003B54E3" w:rsidRDefault="00D17610">
      <w:pPr>
        <w:spacing w:before="80" w:after="140" w:line="340" w:lineRule="auto"/>
        <w:jc w:val="both"/>
      </w:pPr>
      <w:r>
        <w:rPr>
          <w:color w:val="1A1A1A"/>
          <w:sz w:val="21"/>
          <w:szCs w:val="21"/>
        </w:rPr>
        <w:t>The EU AI Act, in its provisions governing high-risk systems, requires documented evidence that human oversight mechanisms were operational and that risk ma</w:t>
      </w:r>
      <w:r>
        <w:rPr>
          <w:color w:val="1A1A1A"/>
          <w:sz w:val="21"/>
          <w:szCs w:val="21"/>
        </w:rPr>
        <w:t>nagement processes were technically implemented.</w:t>
      </w:r>
    </w:p>
    <w:p w:rsidR="003B54E3" w:rsidRDefault="00D17610">
      <w:pPr>
        <w:spacing w:before="80" w:after="140" w:line="340" w:lineRule="auto"/>
        <w:jc w:val="both"/>
      </w:pPr>
      <w:r>
        <w:rPr>
          <w:color w:val="1A1A1A"/>
          <w:sz w:val="21"/>
          <w:szCs w:val="21"/>
        </w:rPr>
        <w:t>In all three frameworks, and across every analogous provision in the broader regulatory landscape, the common thread is this: the institution must be able to produce technical evidence, not assertions, of compliance at the time of the relevant action.</w:t>
      </w:r>
    </w:p>
    <w:p w:rsidR="003B54E3" w:rsidRDefault="00D17610">
      <w:pPr>
        <w:spacing w:before="80" w:after="140" w:line="340" w:lineRule="auto"/>
        <w:jc w:val="both"/>
      </w:pPr>
      <w:r>
        <w:rPr>
          <w:color w:val="1A1A1A"/>
          <w:sz w:val="21"/>
          <w:szCs w:val="21"/>
        </w:rPr>
        <w:lastRenderedPageBreak/>
        <w:t>This</w:t>
      </w:r>
      <w:r>
        <w:rPr>
          <w:color w:val="1A1A1A"/>
          <w:sz w:val="21"/>
          <w:szCs w:val="21"/>
        </w:rPr>
        <w:t xml:space="preserve"> is precisely where the Receipt architecture creates legal exculpation rather than merely operational convenience.</w:t>
      </w:r>
    </w:p>
    <w:p w:rsidR="003B54E3" w:rsidRDefault="00D17610">
      <w:pPr>
        <w:spacing w:before="80" w:after="140" w:line="340" w:lineRule="auto"/>
        <w:jc w:val="both"/>
      </w:pPr>
      <w:r>
        <w:rPr>
          <w:color w:val="1A1A1A"/>
          <w:sz w:val="21"/>
          <w:szCs w:val="21"/>
        </w:rPr>
        <w:t>When a bank can produce a Receipt bearing a TAI64N timestamp, an HMAC-SHA256 signature, a version-locked reference to the exact legal rules a</w:t>
      </w:r>
      <w:r>
        <w:rPr>
          <w:color w:val="1A1A1A"/>
          <w:sz w:val="21"/>
          <w:szCs w:val="21"/>
        </w:rPr>
        <w:t xml:space="preserve">pplied, and a Merkle-chain link that proves the record has not been altered since the moment of its creation, that bank has simultaneously satisfied the technical evidence requirements of Section 25b KWG, DORA Article 17, and the EU AI Act’s documentation </w:t>
      </w:r>
      <w:r>
        <w:rPr>
          <w:color w:val="1A1A1A"/>
          <w:sz w:val="21"/>
          <w:szCs w:val="21"/>
        </w:rPr>
        <w:t>provisions.</w:t>
      </w:r>
    </w:p>
    <w:p w:rsidR="003B54E3" w:rsidRDefault="00D17610">
      <w:pPr>
        <w:spacing w:before="80" w:after="140" w:line="340" w:lineRule="auto"/>
        <w:jc w:val="both"/>
      </w:pPr>
      <w:r>
        <w:rPr>
          <w:color w:val="1A1A1A"/>
          <w:sz w:val="21"/>
          <w:szCs w:val="21"/>
        </w:rPr>
        <w:t>The compliance officer who presents this Receipt to a BaFin examiner is not arguing that their institution tried to comply. They are proving, mathematically, that it did. The burden of proof shifts. The liability exposure collapses.</w:t>
      </w:r>
    </w:p>
    <w:p w:rsidR="003B54E3" w:rsidRDefault="00D17610">
      <w:pPr>
        <w:spacing w:before="80" w:after="140" w:line="340" w:lineRule="auto"/>
        <w:jc w:val="both"/>
      </w:pPr>
      <w:r>
        <w:rPr>
          <w:b/>
          <w:bCs/>
          <w:color w:val="1A1A1A"/>
          <w:sz w:val="21"/>
          <w:szCs w:val="21"/>
        </w:rPr>
        <w:t>A Receipt i</w:t>
      </w:r>
      <w:r>
        <w:rPr>
          <w:b/>
          <w:bCs/>
          <w:color w:val="1A1A1A"/>
          <w:sz w:val="21"/>
          <w:szCs w:val="21"/>
        </w:rPr>
        <w:t>s not documentation. It is exculpation. And the difference, in a serious enforcement action, is measured in hundreds of millions of euros and careers.</w:t>
      </w:r>
    </w:p>
    <w:p w:rsidR="003B54E3" w:rsidRDefault="00D17610">
      <w:pPr>
        <w:spacing w:before="480" w:after="120"/>
      </w:pPr>
      <w:r>
        <w:rPr>
          <w:b/>
          <w:bCs/>
          <w:color w:val="1B2A3B"/>
        </w:rPr>
        <w:t>Part VIII: What This Means for European SMEs and the Mittelstand</w:t>
      </w:r>
    </w:p>
    <w:p w:rsidR="003B54E3" w:rsidRDefault="00D17610">
      <w:pPr>
        <w:spacing w:before="80" w:after="140" w:line="340" w:lineRule="auto"/>
        <w:jc w:val="both"/>
      </w:pPr>
      <w:r>
        <w:rPr>
          <w:color w:val="1A1A1A"/>
          <w:sz w:val="21"/>
          <w:szCs w:val="21"/>
        </w:rPr>
        <w:t>The European Mittelstand is entering a r</w:t>
      </w:r>
      <w:r>
        <w:rPr>
          <w:color w:val="1A1A1A"/>
          <w:sz w:val="21"/>
          <w:szCs w:val="21"/>
        </w:rPr>
        <w:t>egulatory environment that was designed with large financial institutions in mind but applies to every company above certain transaction thresholds.</w:t>
      </w:r>
    </w:p>
    <w:p w:rsidR="003B54E3" w:rsidRDefault="00D17610">
      <w:pPr>
        <w:spacing w:before="80" w:after="140" w:line="340" w:lineRule="auto"/>
        <w:jc w:val="both"/>
      </w:pPr>
      <w:r>
        <w:rPr>
          <w:color w:val="1A1A1A"/>
          <w:sz w:val="21"/>
          <w:szCs w:val="21"/>
        </w:rPr>
        <w:t>A medium-sized German real estate fund with 200 transactions per year cannot afford the compliance infrastr</w:t>
      </w:r>
      <w:r>
        <w:rPr>
          <w:color w:val="1A1A1A"/>
          <w:sz w:val="21"/>
          <w:szCs w:val="21"/>
        </w:rPr>
        <w:t>ucture that Deutsche Bank maintains. But under DORA, GwG, AMLD6, and the EU AI Act, it faces identical documentation requirements.</w:t>
      </w:r>
    </w:p>
    <w:p w:rsidR="003B54E3" w:rsidRDefault="00D17610">
      <w:pPr>
        <w:spacing w:before="80" w:after="140" w:line="340" w:lineRule="auto"/>
        <w:jc w:val="both"/>
      </w:pPr>
      <w:r>
        <w:rPr>
          <w:color w:val="1A1A1A"/>
          <w:sz w:val="21"/>
          <w:szCs w:val="21"/>
        </w:rPr>
        <w:t>The cost asymmetry is enormous and growing. Large institutions can absorb the cost of internal compliance functions. Small an</w:t>
      </w:r>
      <w:r>
        <w:rPr>
          <w:color w:val="1A1A1A"/>
          <w:sz w:val="21"/>
          <w:szCs w:val="21"/>
        </w:rPr>
        <w:t>d medium enterprises cannot. The result is not a level playing field. It is a regulatory environment that systematically advantages large incumbents and creates existential risk for smaller market participants.</w:t>
      </w:r>
    </w:p>
    <w:p w:rsidR="003B54E3" w:rsidRDefault="00D17610">
      <w:pPr>
        <w:spacing w:before="80" w:after="140" w:line="340" w:lineRule="auto"/>
        <w:jc w:val="both"/>
      </w:pPr>
      <w:r>
        <w:rPr>
          <w:color w:val="1A1A1A"/>
          <w:sz w:val="21"/>
          <w:szCs w:val="21"/>
        </w:rPr>
        <w:t>A per-transaction infrastructure model at EUR</w:t>
      </w:r>
      <w:r>
        <w:rPr>
          <w:color w:val="1A1A1A"/>
          <w:sz w:val="21"/>
          <w:szCs w:val="21"/>
        </w:rPr>
        <w:t> 0.12 per full seven-gate compliance check changes this equation fundamentally. A Mittelstand fund with 200 annual transactions spends EUR 24 per year on technically verifiable, court-admissible compliance documentation — instead of EUR 400,000 on an inter</w:t>
      </w:r>
      <w:r>
        <w:rPr>
          <w:color w:val="1A1A1A"/>
          <w:sz w:val="21"/>
          <w:szCs w:val="21"/>
        </w:rPr>
        <w:t>nal compliance function that fails its first serious regulatory examination 40 percent of the time.</w:t>
      </w:r>
    </w:p>
    <w:p w:rsidR="003B54E3" w:rsidRDefault="00D17610">
      <w:pPr>
        <w:spacing w:before="80" w:after="140" w:line="340" w:lineRule="auto"/>
        <w:jc w:val="both"/>
      </w:pPr>
      <w:r>
        <w:rPr>
          <w:color w:val="1A1A1A"/>
          <w:sz w:val="21"/>
          <w:szCs w:val="21"/>
        </w:rPr>
        <w:t>This is not a marginal improvement. It is a structural transformation of who can operate in regulated markets with genuine legal protection.</w:t>
      </w:r>
    </w:p>
    <w:p w:rsidR="003B54E3" w:rsidRDefault="00D17610">
      <w:pPr>
        <w:spacing w:before="80" w:after="140" w:line="340" w:lineRule="auto"/>
        <w:jc w:val="both"/>
      </w:pPr>
      <w:r>
        <w:rPr>
          <w:color w:val="1A1A1A"/>
          <w:sz w:val="21"/>
          <w:szCs w:val="21"/>
        </w:rPr>
        <w:t>We are asking t</w:t>
      </w:r>
      <w:r>
        <w:rPr>
          <w:color w:val="1A1A1A"/>
          <w:sz w:val="21"/>
          <w:szCs w:val="21"/>
        </w:rPr>
        <w:t>he European Commission to treat compliance cost asymmetry between large institutions and the Mittelstand as a market failure that regulation must correct, not deepen.</w:t>
      </w:r>
    </w:p>
    <w:p w:rsidR="003B54E3" w:rsidRDefault="00D17610">
      <w:r>
        <w:br w:type="page"/>
      </w:r>
    </w:p>
    <w:p w:rsidR="003B54E3" w:rsidRDefault="00D17610">
      <w:pPr>
        <w:spacing w:before="480" w:after="120"/>
      </w:pPr>
      <w:r>
        <w:rPr>
          <w:b/>
          <w:bCs/>
          <w:color w:val="1B2A3B"/>
        </w:rPr>
        <w:lastRenderedPageBreak/>
        <w:t>Part IX: The Geopolitical Dimension</w:t>
      </w:r>
    </w:p>
    <w:p w:rsidR="003B54E3" w:rsidRDefault="00D17610">
      <w:pPr>
        <w:spacing w:before="80" w:after="140" w:line="340" w:lineRule="auto"/>
        <w:jc w:val="both"/>
      </w:pPr>
      <w:r>
        <w:rPr>
          <w:color w:val="1A1A1A"/>
          <w:sz w:val="21"/>
          <w:szCs w:val="21"/>
        </w:rPr>
        <w:t>In a geopolitical environment where transatlantic r</w:t>
      </w:r>
      <w:r>
        <w:rPr>
          <w:color w:val="1A1A1A"/>
          <w:sz w:val="21"/>
          <w:szCs w:val="21"/>
        </w:rPr>
        <w:t>elations are under measurable strain, where the US CLOUD Act creates structural legal exposure for European institutions, and where European digital sovereignty is increasingly recognized as a strategic necessity rather than a compliance checkbox, an archi</w:t>
      </w:r>
      <w:r>
        <w:rPr>
          <w:color w:val="1A1A1A"/>
          <w:sz w:val="21"/>
          <w:szCs w:val="21"/>
        </w:rPr>
        <w:t>tecture that enforces sovereignty through mathematics rather than contracts is not a nice-to-have. It is a strategic infrastructure requirement.</w:t>
      </w:r>
    </w:p>
    <w:p w:rsidR="003B54E3" w:rsidRDefault="00D17610">
      <w:pPr>
        <w:spacing w:before="80" w:after="140" w:line="340" w:lineRule="auto"/>
        <w:jc w:val="both"/>
      </w:pPr>
      <w:r>
        <w:rPr>
          <w:color w:val="1A1A1A"/>
          <w:sz w:val="21"/>
          <w:szCs w:val="21"/>
        </w:rPr>
        <w:t>China is investing massively in sovereign digital compliance infrastructure. The United States has set clear po</w:t>
      </w:r>
      <w:r>
        <w:rPr>
          <w:color w:val="1A1A1A"/>
          <w:sz w:val="21"/>
          <w:szCs w:val="21"/>
        </w:rPr>
        <w:t>st-quantum standards through FIPS 203, 204, and 205 and is beginning to make their implementation a condition for regulated market access. Europe is still deliberating.</w:t>
      </w:r>
    </w:p>
    <w:p w:rsidR="003B54E3" w:rsidRDefault="00D17610">
      <w:pPr>
        <w:spacing w:before="80" w:after="140" w:line="340" w:lineRule="auto"/>
        <w:jc w:val="both"/>
      </w:pPr>
      <w:r>
        <w:rPr>
          <w:color w:val="1A1A1A"/>
          <w:sz w:val="21"/>
          <w:szCs w:val="21"/>
        </w:rPr>
        <w:t>Every quarter without a European standard for Institutional Trust Infrastructure is a q</w:t>
      </w:r>
      <w:r>
        <w:rPr>
          <w:color w:val="1A1A1A"/>
          <w:sz w:val="21"/>
          <w:szCs w:val="21"/>
        </w:rPr>
        <w:t>uarter in which European institutions grow deeper into infrastructure dependencies that are politically conditioned. The switching costs do not grow linearly. They grow exponentially, because compliance chains cannot be interrupted backwards without genera</w:t>
      </w:r>
      <w:r>
        <w:rPr>
          <w:color w:val="1A1A1A"/>
          <w:sz w:val="21"/>
          <w:szCs w:val="21"/>
        </w:rPr>
        <w:t>ting new liability risks.</w:t>
      </w:r>
    </w:p>
    <w:p w:rsidR="003B54E3" w:rsidRDefault="00D17610">
      <w:pPr>
        <w:spacing w:before="80" w:after="140" w:line="340" w:lineRule="auto"/>
        <w:jc w:val="both"/>
      </w:pPr>
      <w:r>
        <w:rPr>
          <w:color w:val="1A1A1A"/>
          <w:sz w:val="21"/>
          <w:szCs w:val="21"/>
        </w:rPr>
        <w:t xml:space="preserve">European technology built in Europe, operated by European companies under European law, verified by European regulators, protecting European institutions from extraterritorial legal reach. This is not an ideological statement. It </w:t>
      </w:r>
      <w:r>
        <w:rPr>
          <w:color w:val="1A1A1A"/>
          <w:sz w:val="21"/>
          <w:szCs w:val="21"/>
        </w:rPr>
        <w:t>is a description of what infrastructure sovereignty requires in practice. And it is achievable now, with existing technology, if the political decision to require it is made.</w:t>
      </w:r>
    </w:p>
    <w:p w:rsidR="003B54E3" w:rsidRDefault="00D17610">
      <w:pPr>
        <w:spacing w:before="480" w:after="120"/>
      </w:pPr>
      <w:r>
        <w:rPr>
          <w:b/>
          <w:bCs/>
          <w:color w:val="1B2A3B"/>
        </w:rPr>
        <w:t>Part X: Standardization Must Be Accelerated</w:t>
      </w:r>
    </w:p>
    <w:p w:rsidR="003B54E3" w:rsidRDefault="00D17610">
      <w:pPr>
        <w:spacing w:before="80" w:after="140" w:line="340" w:lineRule="auto"/>
        <w:jc w:val="both"/>
      </w:pPr>
      <w:r>
        <w:rPr>
          <w:color w:val="1A1A1A"/>
          <w:sz w:val="21"/>
          <w:szCs w:val="21"/>
        </w:rPr>
        <w:t xml:space="preserve">The standardization of cryptographic </w:t>
      </w:r>
      <w:r>
        <w:rPr>
          <w:color w:val="1A1A1A"/>
          <w:sz w:val="21"/>
          <w:szCs w:val="21"/>
        </w:rPr>
        <w:t>compliance evidence within Germany and the EU is a lengthy undertaking. Normalization processes within DIN, CEN, and ETSI take years. Coordination between BSI, BaFin, ENISA, and national supervisory authorities takes years. Political consensus processes be</w:t>
      </w:r>
      <w:r>
        <w:rPr>
          <w:color w:val="1A1A1A"/>
          <w:sz w:val="21"/>
          <w:szCs w:val="21"/>
        </w:rPr>
        <w:t>tween member states take years.</w:t>
      </w:r>
    </w:p>
    <w:p w:rsidR="003B54E3" w:rsidRDefault="00D17610">
      <w:pPr>
        <w:spacing w:before="80" w:after="140" w:line="340" w:lineRule="auto"/>
        <w:jc w:val="both"/>
      </w:pPr>
      <w:r>
        <w:rPr>
          <w:color w:val="1A1A1A"/>
          <w:sz w:val="21"/>
          <w:szCs w:val="21"/>
        </w:rPr>
        <w:t>These timelines are incompatible with the regulatory enforcement that is already underway.</w:t>
      </w:r>
    </w:p>
    <w:p w:rsidR="003B54E3" w:rsidRDefault="00D17610">
      <w:pPr>
        <w:spacing w:before="80" w:after="140" w:line="340" w:lineRule="auto"/>
        <w:jc w:val="both"/>
      </w:pPr>
      <w:r>
        <w:rPr>
          <w:color w:val="1A1A1A"/>
          <w:sz w:val="21"/>
          <w:szCs w:val="21"/>
        </w:rPr>
        <w:t>DORA enforcement began in January 2025. The first wave of serious AI Act examinations will begin within eighteen months. NIS2 transpo</w:t>
      </w:r>
      <w:r>
        <w:rPr>
          <w:color w:val="1A1A1A"/>
          <w:sz w:val="21"/>
          <w:szCs w:val="21"/>
        </w:rPr>
        <w:t>sition deadlines have passed. Institutions are being examined today, against standards that are not grounded in a reference technical infrastructure that actually exists.</w:t>
      </w:r>
    </w:p>
    <w:p w:rsidR="003B54E3" w:rsidRDefault="00D17610">
      <w:pPr>
        <w:spacing w:before="80" w:after="140" w:line="340" w:lineRule="auto"/>
        <w:jc w:val="both"/>
      </w:pPr>
      <w:r>
        <w:rPr>
          <w:color w:val="1A1A1A"/>
          <w:sz w:val="21"/>
          <w:szCs w:val="21"/>
        </w:rPr>
        <w:t>The foreseeable result is that institutions will be penalized for deficiencies for wh</w:t>
      </w:r>
      <w:r>
        <w:rPr>
          <w:color w:val="1A1A1A"/>
          <w:sz w:val="21"/>
          <w:szCs w:val="21"/>
        </w:rPr>
        <w:t>ich they could not find a technically adequate solution, because the standards were not clearly enough defined and the available infrastructure did not meet the regulatory requirement.</w:t>
      </w:r>
    </w:p>
    <w:p w:rsidR="003B54E3" w:rsidRDefault="00D17610">
      <w:pPr>
        <w:spacing w:before="80" w:after="140" w:line="340" w:lineRule="auto"/>
        <w:jc w:val="both"/>
      </w:pPr>
      <w:r>
        <w:rPr>
          <w:color w:val="1A1A1A"/>
          <w:sz w:val="21"/>
          <w:szCs w:val="21"/>
        </w:rPr>
        <w:t>The European Union cannot afford this reputational damage. Not toward r</w:t>
      </w:r>
      <w:r>
        <w:rPr>
          <w:color w:val="1A1A1A"/>
          <w:sz w:val="21"/>
          <w:szCs w:val="21"/>
        </w:rPr>
        <w:t>egulated institutions acting in good faith. Not toward international partners observing whether European regulation is practicable. And not toward the rest of the world deciding whether European RegTech deserves to be taken seriously as a global standard.</w:t>
      </w:r>
    </w:p>
    <w:p w:rsidR="003B54E3" w:rsidRDefault="00D17610">
      <w:pPr>
        <w:spacing w:before="80" w:after="140" w:line="340" w:lineRule="auto"/>
        <w:jc w:val="both"/>
      </w:pPr>
      <w:r>
        <w:rPr>
          <w:color w:val="1A1A1A"/>
          <w:sz w:val="21"/>
          <w:szCs w:val="21"/>
        </w:rPr>
        <w:lastRenderedPageBreak/>
        <w:t>We are asking for an accelerated standardization process. One that incorporates the technical reality of existing architectures rather than relying on theoretical specifications. One that is grounded in production-tested systems. And one that sets a timeli</w:t>
      </w:r>
      <w:r>
        <w:rPr>
          <w:color w:val="1A1A1A"/>
          <w:sz w:val="21"/>
          <w:szCs w:val="21"/>
        </w:rPr>
        <w:t>ne compatible with the enforcement pace of the regulation it is meant to support.</w:t>
      </w:r>
    </w:p>
    <w:p w:rsidR="003B54E3" w:rsidRDefault="003B54E3"/>
    <w:p w:rsidR="003B54E3" w:rsidRDefault="003B54E3"/>
    <w:p w:rsidR="003B54E3" w:rsidRDefault="003B54E3">
      <w:pPr>
        <w:pBdr>
          <w:bottom w:val="single" w:sz="6" w:space="0" w:color="1B2A3B"/>
        </w:pBdr>
        <w:spacing w:after="200"/>
      </w:pPr>
    </w:p>
    <w:p w:rsidR="003B54E3" w:rsidRDefault="00D17610">
      <w:pPr>
        <w:spacing w:before="240" w:after="200"/>
      </w:pPr>
      <w:r>
        <w:rPr>
          <w:b/>
          <w:bCs/>
          <w:color w:val="1B2A3B"/>
          <w:sz w:val="26"/>
          <w:szCs w:val="26"/>
        </w:rPr>
        <w:t>What We Are Asking For</w:t>
      </w:r>
    </w:p>
    <w:p w:rsidR="003B54E3" w:rsidRDefault="00D17610">
      <w:pPr>
        <w:spacing w:before="120" w:after="80" w:line="320" w:lineRule="auto"/>
      </w:pPr>
      <w:r>
        <w:rPr>
          <w:b/>
          <w:bCs/>
          <w:color w:val="1B2A3B"/>
          <w:sz w:val="21"/>
          <w:szCs w:val="21"/>
        </w:rPr>
        <w:t xml:space="preserve">From the BSI: </w:t>
      </w:r>
      <w:r>
        <w:rPr>
          <w:color w:val="1A1A1A"/>
          <w:sz w:val="21"/>
          <w:szCs w:val="21"/>
        </w:rPr>
        <w:t>Examine our architecture as a reference implementation for the evidentiary requirements of the new AI oversight mandate. Establish Zero Key Custody and post-quantum hybrid signatures as mandatory requirements for regulated compliance infrastructure. Accele</w:t>
      </w:r>
      <w:r>
        <w:rPr>
          <w:color w:val="1A1A1A"/>
          <w:sz w:val="21"/>
          <w:szCs w:val="21"/>
        </w:rPr>
        <w:t>rate the standardization process using real production systems rather than theoretical specifications as the foundation.</w:t>
      </w:r>
    </w:p>
    <w:p w:rsidR="003B54E3" w:rsidRDefault="003B54E3"/>
    <w:p w:rsidR="003B54E3" w:rsidRDefault="00D17610">
      <w:pPr>
        <w:spacing w:before="120" w:after="80" w:line="320" w:lineRule="auto"/>
      </w:pPr>
      <w:r>
        <w:rPr>
          <w:b/>
          <w:bCs/>
          <w:color w:val="1B2A3B"/>
          <w:sz w:val="21"/>
          <w:szCs w:val="21"/>
        </w:rPr>
        <w:t xml:space="preserve">From the Federal Ministry for Digital Affairs: </w:t>
      </w:r>
      <w:r>
        <w:rPr>
          <w:color w:val="1A1A1A"/>
          <w:sz w:val="21"/>
          <w:szCs w:val="21"/>
        </w:rPr>
        <w:t>Recognize Institutional Trust Infrastructure as a distinct and strategically significan</w:t>
      </w:r>
      <w:r>
        <w:rPr>
          <w:color w:val="1A1A1A"/>
          <w:sz w:val="21"/>
          <w:szCs w:val="21"/>
        </w:rPr>
        <w:t>t category in Germany’s digital infrastructure strategy. Address the compliance cost asymmetry between large institutions and the Mittelstand as a market failure that regulation must correct, not deepen. Initiate a public reference deployment.</w:t>
      </w:r>
    </w:p>
    <w:p w:rsidR="003B54E3" w:rsidRDefault="003B54E3"/>
    <w:p w:rsidR="003B54E3" w:rsidRDefault="00D17610">
      <w:pPr>
        <w:spacing w:before="120" w:after="80" w:line="320" w:lineRule="auto"/>
      </w:pPr>
      <w:r>
        <w:rPr>
          <w:b/>
          <w:bCs/>
          <w:color w:val="1B2A3B"/>
          <w:sz w:val="21"/>
          <w:szCs w:val="21"/>
        </w:rPr>
        <w:t>From the Eu</w:t>
      </w:r>
      <w:r>
        <w:rPr>
          <w:b/>
          <w:bCs/>
          <w:color w:val="1B2A3B"/>
          <w:sz w:val="21"/>
          <w:szCs w:val="21"/>
        </w:rPr>
        <w:t xml:space="preserve">ropean Commission: </w:t>
      </w:r>
      <w:r>
        <w:rPr>
          <w:color w:val="1A1A1A"/>
          <w:sz w:val="21"/>
          <w:szCs w:val="21"/>
        </w:rPr>
        <w:t>Declare CLOUD Act risk a formal compliance consideration under DORA and NIS2. Mandate Zero Key Custody for compliance data of critical infrastructure operators. Set a timeline for post-quantum readiness that creates urgency without creat</w:t>
      </w:r>
      <w:r>
        <w:rPr>
          <w:color w:val="1A1A1A"/>
          <w:sz w:val="21"/>
          <w:szCs w:val="21"/>
        </w:rPr>
        <w:t>ing panic. Ensure that the compliance cost structure of DORA, NIS2, and the EU AI Act does not unintentionally accelerate market consolidation in favor of the largest institutions.</w:t>
      </w:r>
    </w:p>
    <w:p w:rsidR="003B54E3" w:rsidRDefault="003B54E3"/>
    <w:p w:rsidR="003B54E3" w:rsidRDefault="003B54E3"/>
    <w:p w:rsidR="003B54E3" w:rsidRDefault="003B54E3">
      <w:pPr>
        <w:pBdr>
          <w:bottom w:val="single" w:sz="6" w:space="0" w:color="1B2A3B"/>
        </w:pBdr>
        <w:spacing w:after="200"/>
      </w:pPr>
    </w:p>
    <w:p w:rsidR="003B54E3" w:rsidRDefault="00D17610">
      <w:pPr>
        <w:spacing w:before="240" w:after="200"/>
      </w:pPr>
      <w:r>
        <w:rPr>
          <w:b/>
          <w:bCs/>
          <w:color w:val="1B2A3B"/>
          <w:sz w:val="26"/>
          <w:szCs w:val="26"/>
        </w:rPr>
        <w:t>The Alternative</w:t>
      </w:r>
    </w:p>
    <w:p w:rsidR="003B54E3" w:rsidRDefault="00D17610">
      <w:pPr>
        <w:spacing w:before="80" w:after="140" w:line="340" w:lineRule="auto"/>
        <w:jc w:val="both"/>
      </w:pPr>
      <w:r>
        <w:rPr>
          <w:color w:val="1A1A1A"/>
          <w:sz w:val="21"/>
          <w:szCs w:val="21"/>
        </w:rPr>
        <w:t>If none of this happens, the scenario is predictable.</w:t>
      </w:r>
    </w:p>
    <w:p w:rsidR="003B54E3" w:rsidRDefault="00D17610">
      <w:pPr>
        <w:spacing w:before="80" w:after="140" w:line="340" w:lineRule="auto"/>
        <w:jc w:val="both"/>
      </w:pPr>
      <w:r>
        <w:rPr>
          <w:color w:val="1A1A1A"/>
          <w:sz w:val="21"/>
          <w:szCs w:val="21"/>
        </w:rPr>
        <w:t>La</w:t>
      </w:r>
      <w:r>
        <w:rPr>
          <w:color w:val="1A1A1A"/>
          <w:sz w:val="21"/>
          <w:szCs w:val="21"/>
        </w:rPr>
        <w:t>rge European financial institutions will continue to depend on US hyperscaler infrastructure with conditional sovereignty until a CLOUD Act disclosure event triggers a crisis that forces a legislative response under pressure rather than by design.</w:t>
      </w:r>
    </w:p>
    <w:p w:rsidR="003B54E3" w:rsidRDefault="00D17610">
      <w:pPr>
        <w:spacing w:before="80" w:after="140" w:line="340" w:lineRule="auto"/>
        <w:jc w:val="both"/>
      </w:pPr>
      <w:r>
        <w:rPr>
          <w:color w:val="1A1A1A"/>
          <w:sz w:val="21"/>
          <w:szCs w:val="21"/>
        </w:rPr>
        <w:t>Medium a</w:t>
      </w:r>
      <w:r>
        <w:rPr>
          <w:color w:val="1A1A1A"/>
          <w:sz w:val="21"/>
          <w:szCs w:val="21"/>
        </w:rPr>
        <w:t>nd small institutions will fail DORA and AI Act examinations in growing numbers, not because they were reckless, but because the infrastructure they needed did not exist in accessible form at the time the regulation required it.</w:t>
      </w:r>
    </w:p>
    <w:p w:rsidR="003B54E3" w:rsidRDefault="00D17610">
      <w:pPr>
        <w:spacing w:before="80" w:after="140" w:line="340" w:lineRule="auto"/>
        <w:jc w:val="both"/>
      </w:pPr>
      <w:r>
        <w:rPr>
          <w:color w:val="1A1A1A"/>
          <w:sz w:val="21"/>
          <w:szCs w:val="21"/>
        </w:rPr>
        <w:t>The documentation vacuum wi</w:t>
      </w:r>
      <w:r>
        <w:rPr>
          <w:color w:val="1A1A1A"/>
          <w:sz w:val="21"/>
          <w:szCs w:val="21"/>
        </w:rPr>
        <w:t>ll be filled by a new generation of AI-generated compliance reports that are sophisticated, plausible, and technically unverifiable. Regulators will not be able to distinguish them from genuine contemporaneous records. Enforcement will become theater.</w:t>
      </w:r>
    </w:p>
    <w:p w:rsidR="003B54E3" w:rsidRDefault="00D17610">
      <w:pPr>
        <w:spacing w:before="80" w:after="140" w:line="340" w:lineRule="auto"/>
        <w:jc w:val="both"/>
      </w:pPr>
      <w:r>
        <w:rPr>
          <w:color w:val="1A1A1A"/>
          <w:sz w:val="21"/>
          <w:szCs w:val="21"/>
        </w:rPr>
        <w:lastRenderedPageBreak/>
        <w:t xml:space="preserve">And </w:t>
      </w:r>
      <w:r>
        <w:rPr>
          <w:color w:val="1A1A1A"/>
          <w:sz w:val="21"/>
          <w:szCs w:val="21"/>
        </w:rPr>
        <w:t>European digital sovereignty will remain a phrase in policy documents while the actual infrastructure on which European regulated data depends sits in data centers subject to the legal jurisdiction of a foreign power.</w:t>
      </w:r>
    </w:p>
    <w:p w:rsidR="003B54E3" w:rsidRDefault="00D17610">
      <w:pPr>
        <w:spacing w:before="80" w:after="140" w:line="340" w:lineRule="auto"/>
        <w:jc w:val="both"/>
      </w:pPr>
      <w:r>
        <w:rPr>
          <w:b/>
          <w:bCs/>
          <w:color w:val="1A1A1A"/>
          <w:sz w:val="21"/>
          <w:szCs w:val="21"/>
        </w:rPr>
        <w:t>We have built the alternative. It is o</w:t>
      </w:r>
      <w:r>
        <w:rPr>
          <w:b/>
          <w:bCs/>
          <w:color w:val="1A1A1A"/>
          <w:sz w:val="21"/>
          <w:szCs w:val="21"/>
        </w:rPr>
        <w:t>perational. It works. The architecture is permanently archived on Zenodo and citable by courts, regulators, and expert witnesses. The method is publicly verifiable. The Receipts are real and mathematically permanent.</w:t>
      </w:r>
    </w:p>
    <w:p w:rsidR="003B54E3" w:rsidRDefault="00D17610">
      <w:pPr>
        <w:spacing w:before="80" w:after="140" w:line="340" w:lineRule="auto"/>
        <w:jc w:val="both"/>
        <w:rPr>
          <w:color w:val="1A1A1A"/>
          <w:sz w:val="21"/>
          <w:szCs w:val="21"/>
        </w:rPr>
      </w:pPr>
      <w:r>
        <w:rPr>
          <w:color w:val="1A1A1A"/>
          <w:sz w:val="21"/>
          <w:szCs w:val="21"/>
        </w:rPr>
        <w:t>The decision about whether this becomes</w:t>
      </w:r>
      <w:r>
        <w:rPr>
          <w:color w:val="1A1A1A"/>
          <w:sz w:val="21"/>
          <w:szCs w:val="21"/>
        </w:rPr>
        <w:t xml:space="preserve"> the standard belongs to the institutions we are addressing in this letter.</w:t>
      </w:r>
    </w:p>
    <w:p w:rsidR="00775147" w:rsidRDefault="008B6F75">
      <w:pPr>
        <w:spacing w:before="80" w:after="140" w:line="340" w:lineRule="auto"/>
        <w:jc w:val="both"/>
      </w:pPr>
      <w:r>
        <w:rPr>
          <w:noProof/>
        </w:rPr>
        <w:drawing>
          <wp:anchor distT="0" distB="0" distL="114300" distR="114300" simplePos="0" relativeHeight="251658240" behindDoc="1" locked="0" layoutInCell="1" allowOverlap="1">
            <wp:simplePos x="0" y="0"/>
            <wp:positionH relativeFrom="margin">
              <wp:posOffset>2241550</wp:posOffset>
            </wp:positionH>
            <wp:positionV relativeFrom="paragraph">
              <wp:posOffset>233680</wp:posOffset>
            </wp:positionV>
            <wp:extent cx="2349500" cy="7493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lobal Brief.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9500" cy="749300"/>
                    </a:xfrm>
                    <a:prstGeom prst="rect">
                      <a:avLst/>
                    </a:prstGeom>
                  </pic:spPr>
                </pic:pic>
              </a:graphicData>
            </a:graphic>
            <wp14:sizeRelH relativeFrom="margin">
              <wp14:pctWidth>0</wp14:pctWidth>
            </wp14:sizeRelH>
            <wp14:sizeRelV relativeFrom="margin">
              <wp14:pctHeight>0</wp14:pctHeight>
            </wp14:sizeRelV>
          </wp:anchor>
        </w:drawing>
      </w:r>
      <w:r w:rsidR="00775147">
        <w:rPr>
          <w:color w:val="1A1A1A"/>
          <w:sz w:val="21"/>
          <w:szCs w:val="21"/>
        </w:rPr>
        <w:t>__________________________________________________________________</w:t>
      </w:r>
    </w:p>
    <w:p w:rsidR="003B54E3" w:rsidRDefault="00D17610" w:rsidP="00775147">
      <w:r>
        <w:rPr>
          <w:b/>
          <w:bCs/>
          <w:color w:val="1B2A3B"/>
        </w:rPr>
        <w:t xml:space="preserve">immo.quick Global </w:t>
      </w:r>
      <w:r w:rsidR="008B6F75">
        <w:rPr>
          <w:b/>
          <w:bCs/>
          <w:color w:val="1B2A3B"/>
        </w:rPr>
        <w:tab/>
      </w:r>
      <w:r w:rsidR="008B6F75">
        <w:rPr>
          <w:b/>
          <w:bCs/>
          <w:color w:val="1B2A3B"/>
        </w:rPr>
        <w:tab/>
      </w:r>
      <w:r w:rsidR="008B6F75">
        <w:rPr>
          <w:b/>
          <w:bCs/>
          <w:color w:val="1B2A3B"/>
        </w:rPr>
        <w:tab/>
      </w:r>
    </w:p>
    <w:p w:rsidR="00775147" w:rsidRDefault="00775147">
      <w:pPr>
        <w:spacing w:after="40"/>
        <w:rPr>
          <w:color w:val="4A5568"/>
          <w:sz w:val="20"/>
          <w:szCs w:val="20"/>
        </w:rPr>
      </w:pPr>
    </w:p>
    <w:p w:rsidR="003B54E3" w:rsidRDefault="00D17610">
      <w:pPr>
        <w:spacing w:after="40"/>
      </w:pPr>
      <w:r>
        <w:rPr>
          <w:color w:val="4A5568"/>
          <w:sz w:val="20"/>
          <w:szCs w:val="20"/>
        </w:rPr>
        <w:t>Hattingen, Germany</w:t>
      </w:r>
    </w:p>
    <w:p w:rsidR="003B54E3" w:rsidRDefault="00D17610">
      <w:pPr>
        <w:spacing w:after="40"/>
      </w:pPr>
      <w:r>
        <w:rPr>
          <w:color w:val="4A5568"/>
          <w:sz w:val="20"/>
          <w:szCs w:val="20"/>
        </w:rPr>
        <w:t>Rami Cherri, Founder &amp; CEO</w:t>
      </w:r>
    </w:p>
    <w:p w:rsidR="003B54E3" w:rsidRDefault="003B54E3"/>
    <w:p w:rsidR="003B54E3" w:rsidRDefault="003B54E3"/>
    <w:p w:rsidR="003B54E3" w:rsidRDefault="003B54E3">
      <w:pPr>
        <w:pBdr>
          <w:bottom w:val="single" w:sz="2" w:space="0" w:color="C9D4DF"/>
        </w:pBdr>
        <w:spacing w:before="160" w:after="160"/>
      </w:pPr>
    </w:p>
    <w:p w:rsidR="003B54E3" w:rsidRDefault="00D17610">
      <w:pPr>
        <w:tabs>
          <w:tab w:val="left" w:pos="2160"/>
        </w:tabs>
        <w:spacing w:before="30" w:after="30"/>
      </w:pPr>
      <w:r>
        <w:rPr>
          <w:color w:val="718096"/>
          <w:sz w:val="18"/>
          <w:szCs w:val="18"/>
        </w:rPr>
        <w:t>Published:</w:t>
      </w:r>
      <w:r>
        <w:tab/>
      </w:r>
      <w:r w:rsidR="0059506B">
        <w:rPr>
          <w:color w:val="4A5568"/>
          <w:sz w:val="18"/>
          <w:szCs w:val="18"/>
        </w:rPr>
        <w:t>LinkedIn -</w:t>
      </w:r>
      <w:r>
        <w:rPr>
          <w:color w:val="4A5568"/>
          <w:sz w:val="18"/>
          <w:szCs w:val="18"/>
        </w:rPr>
        <w:t xml:space="preserve"> immo.quick Global </w:t>
      </w:r>
      <w:r w:rsidR="00775147">
        <w:rPr>
          <w:color w:val="4A5568"/>
          <w:sz w:val="18"/>
          <w:szCs w:val="18"/>
        </w:rPr>
        <w:t>| Rami Cherri -</w:t>
      </w:r>
      <w:r>
        <w:rPr>
          <w:color w:val="4A5568"/>
          <w:sz w:val="18"/>
          <w:szCs w:val="18"/>
        </w:rPr>
        <w:t xml:space="preserve"> June 2026</w:t>
      </w:r>
    </w:p>
    <w:p w:rsidR="003B54E3" w:rsidRDefault="00D17610">
      <w:pPr>
        <w:tabs>
          <w:tab w:val="left" w:pos="2160"/>
        </w:tabs>
        <w:spacing w:before="30" w:after="30"/>
      </w:pPr>
      <w:r>
        <w:rPr>
          <w:color w:val="718096"/>
          <w:sz w:val="18"/>
          <w:szCs w:val="18"/>
        </w:rPr>
        <w:t>Version:</w:t>
      </w:r>
      <w:r>
        <w:tab/>
      </w:r>
      <w:r>
        <w:rPr>
          <w:color w:val="4A5568"/>
          <w:sz w:val="18"/>
          <w:szCs w:val="18"/>
        </w:rPr>
        <w:t xml:space="preserve">Serverless Edition </w:t>
      </w:r>
    </w:p>
    <w:p w:rsidR="003B54E3" w:rsidRDefault="00D17610">
      <w:pPr>
        <w:tabs>
          <w:tab w:val="left" w:pos="2160"/>
        </w:tabs>
        <w:spacing w:before="30" w:after="30"/>
      </w:pPr>
      <w:r>
        <w:rPr>
          <w:color w:val="718096"/>
          <w:sz w:val="18"/>
          <w:szCs w:val="18"/>
        </w:rPr>
        <w:t>Architecture DOI:</w:t>
      </w:r>
      <w:r>
        <w:tab/>
      </w:r>
      <w:r>
        <w:rPr>
          <w:color w:val="4A5568"/>
          <w:sz w:val="18"/>
          <w:szCs w:val="18"/>
        </w:rPr>
        <w:t>10.5281/zenodo.20562673</w:t>
      </w:r>
    </w:p>
    <w:p w:rsidR="003B54E3" w:rsidRDefault="00D17610">
      <w:pPr>
        <w:tabs>
          <w:tab w:val="left" w:pos="2160"/>
        </w:tabs>
        <w:spacing w:before="30" w:after="30"/>
        <w:rPr>
          <w:color w:val="4A5568"/>
          <w:sz w:val="18"/>
          <w:szCs w:val="18"/>
        </w:rPr>
      </w:pPr>
      <w:r>
        <w:rPr>
          <w:color w:val="718096"/>
          <w:sz w:val="18"/>
          <w:szCs w:val="18"/>
        </w:rPr>
        <w:t>Contact:</w:t>
      </w:r>
      <w:r>
        <w:tab/>
      </w:r>
      <w:hyperlink r:id="rId8" w:history="1">
        <w:r w:rsidR="00775147" w:rsidRPr="00493165">
          <w:rPr>
            <w:rStyle w:val="Hyperlink"/>
            <w:sz w:val="18"/>
            <w:szCs w:val="18"/>
          </w:rPr>
          <w:t>access@immoquick.eu</w:t>
        </w:r>
      </w:hyperlink>
      <w:r w:rsidR="00775147">
        <w:rPr>
          <w:color w:val="4A5568"/>
          <w:sz w:val="18"/>
          <w:szCs w:val="18"/>
        </w:rPr>
        <w:t xml:space="preserve"> | r.cherri@immoquick.eu</w:t>
      </w:r>
    </w:p>
    <w:p w:rsidR="00775147" w:rsidRDefault="00775147">
      <w:pPr>
        <w:tabs>
          <w:tab w:val="left" w:pos="2160"/>
        </w:tabs>
        <w:spacing w:before="30" w:after="30"/>
      </w:pPr>
      <w:r>
        <w:rPr>
          <w:color w:val="4A5568"/>
          <w:sz w:val="18"/>
          <w:szCs w:val="18"/>
        </w:rPr>
        <w:t>Web:</w:t>
      </w:r>
      <w:r>
        <w:rPr>
          <w:color w:val="4A5568"/>
          <w:sz w:val="18"/>
          <w:szCs w:val="18"/>
        </w:rPr>
        <w:tab/>
        <w:t>www.immoquick.eu</w:t>
      </w:r>
    </w:p>
    <w:p w:rsidR="003B54E3" w:rsidRDefault="003B54E3"/>
    <w:p w:rsidR="003B54E3" w:rsidRDefault="00D17610">
      <w:pPr>
        <w:spacing w:before="80" w:line="300" w:lineRule="auto"/>
        <w:jc w:val="both"/>
      </w:pPr>
      <w:r>
        <w:rPr>
          <w:i/>
          <w:iCs/>
          <w:color w:val="718096"/>
          <w:sz w:val="18"/>
          <w:szCs w:val="18"/>
        </w:rPr>
        <w:t>This letter is published openly on LinkedIn to invite public technical and legal scrutiny. We welcome responses from the institutions address</w:t>
      </w:r>
      <w:r>
        <w:rPr>
          <w:i/>
          <w:iCs/>
          <w:color w:val="718096"/>
          <w:sz w:val="18"/>
          <w:szCs w:val="18"/>
        </w:rPr>
        <w:t>ed, from independent researchers, from competing infrastructure providers, and from the regulated institutions that will ultimately bear the consequences of the decisions described here.</w:t>
      </w:r>
    </w:p>
    <w:sectPr w:rsidR="003B54E3">
      <w:headerReference w:type="default" r:id="rId9"/>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610" w:rsidRDefault="00D17610">
      <w:r>
        <w:separator/>
      </w:r>
    </w:p>
  </w:endnote>
  <w:endnote w:type="continuationSeparator" w:id="0">
    <w:p w:rsidR="00D17610" w:rsidRDefault="00D1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E3" w:rsidRDefault="00D17610">
    <w:pPr>
      <w:pBdr>
        <w:top w:val="single" w:sz="2" w:space="6" w:color="C9D4DF"/>
      </w:pBdr>
      <w:tabs>
        <w:tab w:val="right" w:pos="9026"/>
      </w:tabs>
      <w:spacing w:before="100"/>
    </w:pPr>
    <w:r>
      <w:rPr>
        <w:i/>
        <w:iCs/>
        <w:color w:val="718096"/>
        <w:sz w:val="16"/>
        <w:szCs w:val="16"/>
      </w:rPr>
      <w:t>Sovereign Compliance Engine  —  Serverless Edition v1.1.0  —  DOI: 10.5281/zenodo.20562673</w:t>
    </w:r>
    <w:r>
      <w:tab/>
    </w:r>
    <w:r>
      <w:fldChar w:fldCharType="begin"/>
    </w:r>
    <w:r>
      <w:instrText>PAGE</w:instrText>
    </w:r>
    <w:r>
      <w:fldChar w:fldCharType="separate"/>
    </w:r>
    <w:r w:rsidR="00ED4204">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610" w:rsidRDefault="00D17610">
      <w:r>
        <w:separator/>
      </w:r>
    </w:p>
  </w:footnote>
  <w:footnote w:type="continuationSeparator" w:id="0">
    <w:p w:rsidR="00D17610" w:rsidRDefault="00D17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E3" w:rsidRDefault="00D17610">
    <w:pPr>
      <w:pBdr>
        <w:bottom w:val="single" w:sz="2" w:space="6" w:color="C9D4DF"/>
      </w:pBdr>
      <w:tabs>
        <w:tab w:val="right" w:pos="9026"/>
      </w:tabs>
      <w:spacing w:after="120"/>
    </w:pPr>
    <w:r>
      <w:rPr>
        <w:i/>
        <w:iCs/>
        <w:color w:val="718096"/>
        <w:sz w:val="17"/>
        <w:szCs w:val="17"/>
      </w:rPr>
      <w:t>Open Letter</w:t>
    </w:r>
    <w:r>
      <w:tab/>
    </w:r>
    <w:r>
      <w:rPr>
        <w:color w:val="718096"/>
        <w:sz w:val="17"/>
        <w:szCs w:val="17"/>
      </w:rPr>
      <w:t>immo.quick Global  —  June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F3708"/>
    <w:multiLevelType w:val="hybridMultilevel"/>
    <w:tmpl w:val="F0406652"/>
    <w:lvl w:ilvl="0" w:tplc="C62032DA">
      <w:start w:val="1"/>
      <w:numFmt w:val="bullet"/>
      <w:lvlText w:val="●"/>
      <w:lvlJc w:val="left"/>
      <w:pPr>
        <w:ind w:left="720" w:hanging="360"/>
      </w:pPr>
    </w:lvl>
    <w:lvl w:ilvl="1" w:tplc="4F76BAB2">
      <w:start w:val="1"/>
      <w:numFmt w:val="bullet"/>
      <w:lvlText w:val="○"/>
      <w:lvlJc w:val="left"/>
      <w:pPr>
        <w:ind w:left="1440" w:hanging="360"/>
      </w:pPr>
    </w:lvl>
    <w:lvl w:ilvl="2" w:tplc="B0066118">
      <w:start w:val="1"/>
      <w:numFmt w:val="bullet"/>
      <w:lvlText w:val="■"/>
      <w:lvlJc w:val="left"/>
      <w:pPr>
        <w:ind w:left="2160" w:hanging="360"/>
      </w:pPr>
    </w:lvl>
    <w:lvl w:ilvl="3" w:tplc="5ADE7DA4">
      <w:start w:val="1"/>
      <w:numFmt w:val="bullet"/>
      <w:lvlText w:val="●"/>
      <w:lvlJc w:val="left"/>
      <w:pPr>
        <w:ind w:left="2880" w:hanging="360"/>
      </w:pPr>
    </w:lvl>
    <w:lvl w:ilvl="4" w:tplc="7972AF02">
      <w:start w:val="1"/>
      <w:numFmt w:val="bullet"/>
      <w:lvlText w:val="○"/>
      <w:lvlJc w:val="left"/>
      <w:pPr>
        <w:ind w:left="3600" w:hanging="360"/>
      </w:pPr>
    </w:lvl>
    <w:lvl w:ilvl="5" w:tplc="8DA0CC46">
      <w:start w:val="1"/>
      <w:numFmt w:val="bullet"/>
      <w:lvlText w:val="■"/>
      <w:lvlJc w:val="left"/>
      <w:pPr>
        <w:ind w:left="4320" w:hanging="360"/>
      </w:pPr>
    </w:lvl>
    <w:lvl w:ilvl="6" w:tplc="2D52E8F2">
      <w:start w:val="1"/>
      <w:numFmt w:val="bullet"/>
      <w:lvlText w:val="●"/>
      <w:lvlJc w:val="left"/>
      <w:pPr>
        <w:ind w:left="5040" w:hanging="360"/>
      </w:pPr>
    </w:lvl>
    <w:lvl w:ilvl="7" w:tplc="42BC7CC2">
      <w:start w:val="1"/>
      <w:numFmt w:val="bullet"/>
      <w:lvlText w:val="●"/>
      <w:lvlJc w:val="left"/>
      <w:pPr>
        <w:ind w:left="5760" w:hanging="360"/>
      </w:pPr>
    </w:lvl>
    <w:lvl w:ilvl="8" w:tplc="ABC05A7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4E3"/>
    <w:rsid w:val="003B54E3"/>
    <w:rsid w:val="0059506B"/>
    <w:rsid w:val="00775147"/>
    <w:rsid w:val="008B6F75"/>
    <w:rsid w:val="00D17610"/>
    <w:rsid w:val="00ED42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D41F28-6838-451B-8782-3334E3CC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Georgia" w:hAnsi="Georgia" w:cs="Georgia"/>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qFormat/>
    <w:pPr>
      <w:outlineLvl w:val="0"/>
    </w:pPr>
    <w:rPr>
      <w:color w:val="2E74B5"/>
      <w:sz w:val="32"/>
      <w:szCs w:val="32"/>
    </w:rPr>
  </w:style>
  <w:style w:type="paragraph" w:styleId="berschrift2">
    <w:name w:val="heading 2"/>
    <w:qFormat/>
    <w:pPr>
      <w:outlineLvl w:val="1"/>
    </w:pPr>
    <w:rPr>
      <w:color w:val="2E74B5"/>
      <w:sz w:val="26"/>
      <w:szCs w:val="26"/>
    </w:rPr>
  </w:style>
  <w:style w:type="paragraph" w:styleId="berschrift3">
    <w:name w:val="heading 3"/>
    <w:qFormat/>
    <w:pPr>
      <w:outlineLvl w:val="2"/>
    </w:pPr>
    <w:rPr>
      <w:color w:val="1F4D78"/>
      <w:sz w:val="24"/>
      <w:szCs w:val="24"/>
    </w:rPr>
  </w:style>
  <w:style w:type="paragraph" w:styleId="berschrift4">
    <w:name w:val="heading 4"/>
    <w:qFormat/>
    <w:pPr>
      <w:outlineLvl w:val="3"/>
    </w:pPr>
    <w:rPr>
      <w:i/>
      <w:iCs/>
      <w:color w:val="2E74B5"/>
    </w:rPr>
  </w:style>
  <w:style w:type="paragraph" w:styleId="berschrift5">
    <w:name w:val="heading 5"/>
    <w:qFormat/>
    <w:pPr>
      <w:outlineLvl w:val="4"/>
    </w:pPr>
    <w:rPr>
      <w:color w:val="2E74B5"/>
    </w:rPr>
  </w:style>
  <w:style w:type="paragraph" w:styleId="berschrift6">
    <w:name w:val="heading 6"/>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63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ccess@immoquick.e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3338</Words>
  <Characters>21032</Characters>
  <Application>Microsoft Office Word</Application>
  <DocSecurity>0</DocSecurity>
  <Lines>175</Lines>
  <Paragraphs>48</Paragraphs>
  <ScaleCrop>false</ScaleCrop>
  <HeadingPairs>
    <vt:vector size="2" baseType="variant">
      <vt:variant>
        <vt:lpstr>Titel</vt:lpstr>
      </vt:variant>
      <vt:variant>
        <vt:i4>1</vt:i4>
      </vt:variant>
    </vt:vector>
  </HeadingPairs>
  <TitlesOfParts>
    <vt:vector size="1" baseType="lpstr">
      <vt:lpstr/>
    </vt:vector>
  </TitlesOfParts>
  <Company>Hochschule Bochum</Company>
  <LinksUpToDate>false</LinksUpToDate>
  <CharactersWithSpaces>24322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5</cp:revision>
  <dcterms:created xsi:type="dcterms:W3CDTF">2026-06-12T12:21:00Z</dcterms:created>
  <dcterms:modified xsi:type="dcterms:W3CDTF">2026-06-12T15:32:00Z</dcterms:modified>
</cp:coreProperties>
</file>