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spacing w:before="1400"/>
        <w:jc w:val="center"/>
      </w:pPr>
      <w:r>
        <w:rPr>
          <w:rFonts w:ascii="Aptos" w:hAnsi="Aptos"/>
          <w:b/>
          <w:color w:val="07111D"/>
          <w:sz w:val="58"/>
        </w:rPr>
        <w:t>TREASURY EXECUTION</w:t>
        <w:br/>
        <w:t>RIGHTS ENGINE</w:t>
      </w:r>
    </w:p>
    <w:p>
      <w:pPr>
        <w:spacing w:after="440"/>
        <w:jc w:val="center"/>
      </w:pPr>
      <w:r>
        <w:rPr>
          <w:rFonts w:ascii="Aptos" w:hAnsi="Aptos"/>
          <w:b/>
          <w:color w:val="42D3C9"/>
          <w:sz w:val="26"/>
        </w:rPr>
        <w:t>One execution spine. Multiple financial actions.</w:t>
        <w:br/>
        <w:t>No action defines its own authority.</w:t>
      </w: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42D3C9"/>
                <w:sz w:val="18"/>
              </w:rPr>
              <w:t>PUBLIC ARCHITECTURE</w:t>
            </w:r>
          </w:p>
          <w:p>
            <w:pPr>
              <w:spacing w:after="0" w:line="269" w:lineRule="auto"/>
            </w:pPr>
            <w:r>
              <w:rPr>
                <w:rFonts w:ascii="Aptos" w:hAnsi="Aptos"/>
                <w:b w:val="0"/>
                <w:color w:val="10202E"/>
                <w:sz w:val="18"/>
              </w:rPr>
              <w:t>Action Type 01: FACTOR_RECEIVABLE is implemented on a generic Treasury Execution Rights Spine. Additional action types are architectural targets unless explicitly marked as implemented.</w:t>
            </w:r>
          </w:p>
        </w:tc>
      </w:tr>
    </w:tbl>
    <w:p>
      <w:pPr>
        <w:spacing w:after="40"/>
      </w:pPr>
    </w:p>
    <w:p>
      <w:pPr>
        <w:spacing w:before="700"/>
        <w:jc w:val="center"/>
      </w:pPr>
      <w:r>
        <w:rPr>
          <w:rFonts w:ascii="Aptos" w:hAnsi="Aptos"/>
          <w:b/>
          <w:color w:val="C9962C"/>
          <w:sz w:val="22"/>
        </w:rPr>
        <w:t>AI proposes. Domain gates determine. Authority closes.</w:t>
        <w:br/>
        <w:t>Capability permits. Execution acts. Evidence remembers.</w:t>
      </w:r>
    </w:p>
    <w:p>
      <w:pPr>
        <w:jc w:val="center"/>
      </w:pPr>
      <w:r>
        <w:rPr>
          <w:rFonts w:ascii="Aptos Mono" w:hAnsi="Aptos Mono"/>
          <w:b w:val="0"/>
          <w:color w:val="526273"/>
          <w:sz w:val="16"/>
        </w:rPr>
        <w:t>Public Edition · 28 August 2026</w:t>
      </w:r>
    </w:p>
    <w:p>
      <w:r>
        <w:br w:type="page"/>
      </w:r>
    </w:p>
    <w:p>
      <w:pPr>
        <w:keepNext/>
        <w:spacing w:after="80"/>
      </w:pPr>
      <w:r>
        <w:rPr>
          <w:rFonts w:ascii="Aptos Mono" w:hAnsi="Aptos Mono"/>
          <w:b/>
          <w:color w:val="42D3C9"/>
          <w:sz w:val="14"/>
        </w:rPr>
        <w:t>EXECUTIVE SUMMARY</w:t>
      </w:r>
    </w:p>
    <w:p>
      <w:pPr>
        <w:keepNext/>
        <w:spacing w:before="280" w:after="120"/>
      </w:pPr>
      <w:r>
        <w:rPr>
          <w:rFonts w:ascii="Aptos" w:hAnsi="Aptos"/>
          <w:b/>
          <w:color w:val="07111D"/>
          <w:sz w:val="40"/>
        </w:rPr>
        <w:t>1. Was die Treasury Execution Rights Engine ist</w:t>
      </w:r>
    </w:p>
    <w:p>
      <w:pPr>
        <w:spacing w:after="100" w:line="269" w:lineRule="auto"/>
      </w:pPr>
      <w:r>
        <w:rPr>
          <w:rFonts w:ascii="Aptos" w:hAnsi="Aptos"/>
          <w:b w:val="0"/>
          <w:color w:val="10202E"/>
          <w:sz w:val="20"/>
        </w:rPr>
        <w:t>Die Treasury Execution Rights Engine ist keine Factoring-Software und kein autonomes Treasury-Entscheidungssystem. Sie ist eine generische Execution-Rights-Infrastruktur, die fachliche Treasury-Determinations von externer Authority, Rights Closure, Capability Issuance, tatsächlicher Execution und Evidence trennt.</w:t>
      </w:r>
    </w:p>
    <w:p>
      <w:pPr>
        <w:spacing w:after="100" w:line="269" w:lineRule="auto"/>
      </w:pPr>
      <w:r>
        <w:rPr>
          <w:rFonts w:ascii="Aptos" w:hAnsi="Aptos"/>
          <w:b w:val="0"/>
          <w:color w:val="526273"/>
          <w:sz w:val="19"/>
        </w:rPr>
        <w:t>Der derzeit implementierte Referenz-Action-Type ist FACTOR_RECEIVABLE. Seine Domain Gates liefern fachliche Determinations an eine generische Spine. Die Spine allein besitzt die Execution-Rights-Semantik. Ein externer Executor besitzt die tatsächliche Ausführung.</w:t>
      </w: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42D3C9"/>
                <w:sz w:val="18"/>
              </w:rPr>
              <w:t>ARCHITECTURAL CORE</w:t>
            </w:r>
          </w:p>
          <w:p>
            <w:pPr>
              <w:spacing w:after="0" w:line="269" w:lineRule="auto"/>
            </w:pPr>
            <w:r>
              <w:rPr>
                <w:rFonts w:ascii="Aptos" w:hAnsi="Aptos"/>
                <w:b w:val="0"/>
                <w:color w:val="10202E"/>
                <w:sz w:val="18"/>
              </w:rPr>
              <w:t>Domain Determination ≠ Execution Authorization. Gate PASS ≠ Execution Permission. A Capability permits within its bound scope; it does not itself execute.</w:t>
            </w:r>
          </w:p>
        </w:tc>
      </w:tr>
    </w:tbl>
    <w:p>
      <w:pPr>
        <w:spacing w:after="40"/>
      </w:pPr>
    </w:p>
    <w:p>
      <w:pPr>
        <w:spacing w:before="180" w:after="120"/>
      </w:pPr>
      <w:r>
        <w:rPr>
          <w:rFonts w:ascii="Aptos" w:hAnsi="Aptos"/>
          <w:b/>
          <w:color w:val="07111D"/>
          <w:sz w:val="27"/>
        </w:rPr>
        <w:t>Was deterministisch bedeutet</w:t>
      </w:r>
    </w:p>
    <w:p>
      <w:pPr>
        <w:spacing w:after="100" w:line="269" w:lineRule="auto"/>
      </w:pPr>
      <w:r>
        <w:rPr>
          <w:rFonts w:ascii="Aptos" w:hAnsi="Aptos"/>
          <w:b w:val="0"/>
          <w:color w:val="526273"/>
          <w:sz w:val="19"/>
        </w:rPr>
        <w:t>Die Engine führt eine deterministische Auswertung über gebundene finanzielle, institutionelle und externe States durch. Deterministische Verarbeitung bedeutet nicht, dass jeder externe Input objektiv wahr oder selbst deterministisch entstanden ist. Ratings, rechtliche Assessments, Accounting States und andere Quellen bleiben hinsichtlich ihrer Qualität und Autorität externe Verantwortung.</w:t>
      </w:r>
    </w:p>
    <w:p>
      <w:pPr>
        <w:spacing w:before="180" w:after="120"/>
      </w:pPr>
      <w:r>
        <w:rPr>
          <w:rFonts w:ascii="Aptos" w:hAnsi="Aptos"/>
          <w:b/>
          <w:color w:val="07111D"/>
          <w:sz w:val="27"/>
        </w:rPr>
        <w:t>Was öffentlich nicht behauptet wird</w:t>
      </w:r>
    </w:p>
    <w:p>
      <w:pPr>
        <w:pStyle w:val="ListBullet"/>
        <w:spacing w:after="60" w:line="259" w:lineRule="auto"/>
        <w:ind w:left="259"/>
      </w:pPr>
      <w:r>
        <w:rPr>
          <w:rFonts w:ascii="Aptos" w:hAnsi="Aptos"/>
          <w:b w:val="0"/>
          <w:color w:val="526273"/>
          <w:sz w:val="18"/>
        </w:rPr>
        <w:t>Keine regulatorische, gerichtliche oder gesetzliche Authority wird von der Engine erzeugt.</w:t>
      </w:r>
    </w:p>
    <w:p>
      <w:pPr>
        <w:pStyle w:val="ListBullet"/>
        <w:spacing w:after="60" w:line="259" w:lineRule="auto"/>
        <w:ind w:left="259"/>
      </w:pPr>
      <w:r>
        <w:rPr>
          <w:rFonts w:ascii="Aptos" w:hAnsi="Aptos"/>
          <w:b w:val="0"/>
          <w:color w:val="526273"/>
          <w:sz w:val="18"/>
        </w:rPr>
        <w:t>SHA-256-gebundene Receipts sind tamper-evident/integrity-bound, nicht allein dadurch immutable.</w:t>
      </w:r>
    </w:p>
    <w:p>
      <w:pPr>
        <w:pStyle w:val="ListBullet"/>
        <w:spacing w:after="60" w:line="259" w:lineRule="auto"/>
        <w:ind w:left="259"/>
      </w:pPr>
      <w:r>
        <w:rPr>
          <w:rFonts w:ascii="Aptos" w:hAnsi="Aptos"/>
          <w:b w:val="0"/>
          <w:color w:val="526273"/>
          <w:sz w:val="18"/>
        </w:rPr>
        <w:t>Capability ISSUED bedeutet nicht, dass die Transaktion EXECUTED wurde.</w:t>
      </w:r>
    </w:p>
    <w:p>
      <w:pPr>
        <w:pStyle w:val="ListBullet"/>
        <w:spacing w:after="60" w:line="259" w:lineRule="auto"/>
        <w:ind w:left="259"/>
      </w:pPr>
      <w:r>
        <w:rPr>
          <w:rFonts w:ascii="Aptos" w:hAnsi="Aptos"/>
          <w:b w:val="0"/>
          <w:color w:val="526273"/>
          <w:sz w:val="18"/>
        </w:rPr>
        <w:t>Fail-closed ist eine technische/institutionelle Ausführungsregel, kein gerichtliches Urteil.</w:t>
      </w:r>
    </w:p>
    <w:p>
      <w:pPr>
        <w:pStyle w:val="ListBullet"/>
        <w:spacing w:after="60" w:line="259" w:lineRule="auto"/>
        <w:ind w:left="259"/>
      </w:pPr>
      <w:r>
        <w:rPr>
          <w:rFonts w:ascii="Aptos" w:hAnsi="Aptos"/>
          <w:b w:val="0"/>
          <w:color w:val="526273"/>
          <w:sz w:val="18"/>
        </w:rPr>
        <w:t>Kryptografisch gebundene Evidenz erzeugt keinen automatischen Haftungsausschluss.</w:t>
      </w:r>
    </w:p>
    <w:p>
      <w:r>
        <w:br w:type="page"/>
      </w:r>
    </w:p>
    <w:p>
      <w:pPr>
        <w:keepNext/>
        <w:spacing w:after="80"/>
      </w:pPr>
      <w:r>
        <w:rPr>
          <w:rFonts w:ascii="Aptos Mono" w:hAnsi="Aptos Mono"/>
          <w:b/>
          <w:color w:val="42D3C9"/>
          <w:sz w:val="14"/>
        </w:rPr>
        <w:t>SYSTEM ARCHITECTURE</w:t>
      </w:r>
    </w:p>
    <w:p>
      <w:pPr>
        <w:keepNext/>
        <w:spacing w:before="280" w:after="120"/>
      </w:pPr>
      <w:r>
        <w:rPr>
          <w:rFonts w:ascii="Aptos" w:hAnsi="Aptos"/>
          <w:b/>
          <w:color w:val="07111D"/>
          <w:sz w:val="40"/>
        </w:rPr>
        <w:t>2. Zwei Phasen, eine harte Execution Boundary</w:t>
      </w:r>
    </w:p>
    <w:p>
      <w:pPr>
        <w:spacing w:after="100" w:line="269" w:lineRule="auto"/>
      </w:pPr>
      <w:r>
        <w:rPr>
          <w:rFonts w:ascii="Aptos" w:hAnsi="Aptos"/>
          <w:b w:val="0"/>
          <w:color w:val="526273"/>
          <w:sz w:val="19"/>
        </w:rPr>
        <w:t>Die Architektur trennt die Treasury Rights Pipeline von der tatsächlichen Ausführung. Diese Grenze ist nicht kosmetisch: Sie verhindert, dass eine Determination oder Capability stillschweigend mit einer ausgeführten Transaktion gleichgesetzt wird.</w:t>
      </w:r>
    </w:p>
    <w:tbl>
      <w:tblPr>
        <w:tblW w:type="auto" w:w="0"/>
        <w:jc w:val="center"/>
        <w:tblLayout w:type="fixed"/>
        <w:tblLook w:firstColumn="1" w:firstRow="1" w:lastColumn="0" w:lastRow="0" w:noHBand="0" w:noVBand="1" w:val="04A0"/>
      </w:tblPr>
      <w:tblGrid>
        <w:gridCol w:w="3389"/>
        <w:gridCol w:w="3389"/>
        <w:gridCol w:w="3389"/>
      </w:tblGrid>
      <w:tr>
        <w:tc>
          <w:tcPr>
            <w:tcW w:type="dxa" w:w="4032"/>
            <w:vAlign w:val="center"/>
            <w:tcMar>
              <w:top w:w="80" w:type="dxa"/>
              <w:start w:w="100" w:type="dxa"/>
              <w:bottom w:w="80" w:type="dxa"/>
              <w:end w:w="100" w:type="dxa"/>
            </w:tcMar>
            <w:shd w:fill="07111D"/>
          </w:tcPr>
          <w:p>
            <w:pPr>
              <w:spacing w:after="0" w:line="240" w:lineRule="auto"/>
            </w:pPr>
            <w:r>
              <w:rPr>
                <w:rFonts w:ascii="Aptos" w:hAnsi="Aptos"/>
                <w:b/>
                <w:color w:val="FFFFFF"/>
                <w:sz w:val="16"/>
              </w:rPr>
              <w:t>PHASE 1 · TREASURY RIGHTS PIPELINE</w:t>
            </w:r>
          </w:p>
        </w:tc>
        <w:tc>
          <w:tcPr>
            <w:tcW w:type="dxa" w:w="2448"/>
            <w:vAlign w:val="center"/>
            <w:tcMar>
              <w:top w:w="80" w:type="dxa"/>
              <w:start w:w="100" w:type="dxa"/>
              <w:bottom w:w="80" w:type="dxa"/>
              <w:end w:w="100" w:type="dxa"/>
            </w:tcMar>
            <w:shd w:fill="07111D"/>
          </w:tcPr>
          <w:p>
            <w:pPr>
              <w:spacing w:after="0" w:line="240" w:lineRule="auto"/>
            </w:pPr>
            <w:r>
              <w:rPr>
                <w:rFonts w:ascii="Aptos" w:hAnsi="Aptos"/>
                <w:b/>
                <w:color w:val="FFFFFF"/>
                <w:sz w:val="16"/>
              </w:rPr>
              <w:t>EXECUTION BOUNDARY</w:t>
            </w:r>
          </w:p>
        </w:tc>
        <w:tc>
          <w:tcPr>
            <w:tcW w:type="dxa" w:w="4032"/>
            <w:vAlign w:val="center"/>
            <w:tcMar>
              <w:top w:w="80" w:type="dxa"/>
              <w:start w:w="100" w:type="dxa"/>
              <w:bottom w:w="80" w:type="dxa"/>
              <w:end w:w="100" w:type="dxa"/>
            </w:tcMar>
            <w:shd w:fill="07111D"/>
          </w:tcPr>
          <w:p>
            <w:pPr>
              <w:spacing w:after="0" w:line="240" w:lineRule="auto"/>
            </w:pPr>
            <w:r>
              <w:rPr>
                <w:rFonts w:ascii="Aptos" w:hAnsi="Aptos"/>
                <w:b/>
                <w:color w:val="FFFFFF"/>
                <w:sz w:val="16"/>
              </w:rPr>
              <w:t>PHASE 2 · AUTHORIZED EXECUTOR</w:t>
            </w:r>
          </w:p>
        </w:tc>
      </w:tr>
      <w:tr>
        <w:tc>
          <w:tcPr>
            <w:tcW w:type="dxa" w:w="4032"/>
            <w:vAlign w:val="center"/>
            <w:tcMar>
              <w:top w:w="80" w:type="dxa"/>
              <w:start w:w="100" w:type="dxa"/>
              <w:bottom w:w="80" w:type="dxa"/>
              <w:end w:w="100" w:type="dxa"/>
            </w:tcMar>
          </w:tcPr>
          <w:p>
            <w:pPr>
              <w:spacing w:after="0" w:line="240" w:lineRule="auto"/>
            </w:pPr>
            <w:r>
              <w:rPr>
                <w:rFonts w:ascii="Aptos" w:hAnsi="Aptos"/>
                <w:b w:val="0"/>
                <w:color w:val="10202E"/>
                <w:sz w:val="16"/>
              </w:rPr>
              <w:t>1 Proposal</w:t>
              <w:br/>
              <w:t>2 Normalize</w:t>
              <w:br/>
              <w:t>3 Bind States</w:t>
              <w:br/>
              <w:t>4 Domain Determinations</w:t>
              <w:br/>
              <w:t>5 Execution Policy</w:t>
              <w:br/>
              <w:t>6 Rights Closure</w:t>
              <w:br/>
              <w:t>7 Freshness</w:t>
              <w:br/>
              <w:t>8 Capability Issuance</w:t>
            </w:r>
          </w:p>
        </w:tc>
        <w:tc>
          <w:tcPr>
            <w:tcW w:type="dxa" w:w="2448"/>
            <w:vAlign w:val="center"/>
            <w:tcMar>
              <w:top w:w="80" w:type="dxa"/>
              <w:start w:w="100" w:type="dxa"/>
              <w:bottom w:w="80" w:type="dxa"/>
              <w:end w:w="100" w:type="dxa"/>
            </w:tcMar>
          </w:tcPr>
          <w:p>
            <w:pPr>
              <w:spacing w:after="0" w:line="240" w:lineRule="auto"/>
            </w:pPr>
            <w:r>
              <w:rPr>
                <w:rFonts w:ascii="Aptos" w:hAnsi="Aptos"/>
                <w:b w:val="0"/>
                <w:color w:val="10202E"/>
                <w:sz w:val="16"/>
              </w:rPr>
              <w:t>Harte Systemgrenze</w:t>
              <w:br/>
              <w:t>Capability muss geprüft werden</w:t>
            </w:r>
          </w:p>
        </w:tc>
        <w:tc>
          <w:tcPr>
            <w:tcW w:type="dxa" w:w="4032"/>
            <w:vAlign w:val="center"/>
            <w:tcMar>
              <w:top w:w="80" w:type="dxa"/>
              <w:start w:w="100" w:type="dxa"/>
              <w:bottom w:w="80" w:type="dxa"/>
              <w:end w:w="100" w:type="dxa"/>
            </w:tcMar>
          </w:tcPr>
          <w:p>
            <w:pPr>
              <w:spacing w:after="0" w:line="240" w:lineRule="auto"/>
            </w:pPr>
            <w:r>
              <w:rPr>
                <w:rFonts w:ascii="Aptos" w:hAnsi="Aptos"/>
                <w:b w:val="0"/>
                <w:color w:val="10202E"/>
                <w:sz w:val="16"/>
              </w:rPr>
              <w:t>9 Capability Verify</w:t>
              <w:br/>
              <w:t>10 Actual Execution</w:t>
              <w:br/>
              <w:t>11 Execution Result</w:t>
              <w:br/>
              <w:t>12 Execution Receipt</w:t>
              <w:br/>
              <w:t>13 Evidence Binding</w:t>
            </w:r>
          </w:p>
        </w:tc>
      </w:tr>
    </w:tbl>
    <w:p>
      <w:pPr>
        <w:spacing w:after="40"/>
      </w:pPr>
    </w:p>
    <w:p>
      <w:pPr>
        <w:spacing w:before="180" w:after="120"/>
      </w:pPr>
      <w:r>
        <w:rPr>
          <w:rFonts w:ascii="Aptos" w:hAnsi="Aptos"/>
          <w:b/>
          <w:color w:val="07111D"/>
          <w:sz w:val="27"/>
        </w:rPr>
        <w:t>Spine-Prinzip</w:t>
      </w: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C9962C"/>
                <w:sz w:val="18"/>
              </w:rPr>
              <w:t>INVARIANT 6</w:t>
            </w:r>
          </w:p>
          <w:p>
            <w:pPr>
              <w:spacing w:after="0" w:line="269" w:lineRule="auto"/>
            </w:pPr>
            <w:r>
              <w:rPr>
                <w:rFonts w:ascii="Aptos" w:hAnsi="Aptos"/>
                <w:b w:val="0"/>
                <w:color w:val="10202E"/>
                <w:sz w:val="18"/>
              </w:rPr>
              <w:t>A Treasury Action Type MAY define its own domain gates. It SHALL NOT define its own execution-rights semantics.</w:t>
            </w:r>
          </w:p>
        </w:tc>
      </w:tr>
    </w:tbl>
    <w:p>
      <w:pPr>
        <w:spacing w:after="40"/>
      </w:pPr>
    </w:p>
    <w:p>
      <w:pPr>
        <w:spacing w:after="100" w:line="269" w:lineRule="auto"/>
      </w:pPr>
      <w:r>
        <w:rPr>
          <w:rFonts w:ascii="Aptos" w:hAnsi="Aptos"/>
          <w:b w:val="0"/>
          <w:color w:val="526273"/>
          <w:sz w:val="19"/>
        </w:rPr>
        <w:t>Damit kann FACTOR_RECEIVABLE seine wirtschaftliche und fachliche Logik definieren, aber nicht seine eigene Vorstellung davon, wann Authority geschlossen ist, wie Freshness wirkt oder wer eine Capability ausstellen darf.</w:t>
      </w:r>
    </w:p>
    <w:p>
      <w:pPr>
        <w:keepNext/>
        <w:spacing w:after="80"/>
      </w:pPr>
      <w:r>
        <w:rPr>
          <w:rFonts w:ascii="Aptos Mono" w:hAnsi="Aptos Mono"/>
          <w:b/>
          <w:color w:val="42D3C9"/>
          <w:sz w:val="14"/>
        </w:rPr>
        <w:t>ACTION TYPE 01</w:t>
      </w:r>
    </w:p>
    <w:p>
      <w:pPr>
        <w:keepNext/>
        <w:spacing w:before="280" w:after="120"/>
      </w:pPr>
      <w:r>
        <w:rPr>
          <w:rFonts w:ascii="Aptos" w:hAnsi="Aptos"/>
          <w:b/>
          <w:color w:val="07111D"/>
          <w:sz w:val="40"/>
        </w:rPr>
        <w:t>3. FACTOR_RECEIVABLE: die zehn Domain Gates</w:t>
      </w:r>
    </w:p>
    <w:tbl>
      <w:tblPr>
        <w:tblW w:type="auto" w:w="0"/>
        <w:jc w:val="center"/>
        <w:tblLayout w:type="fixed"/>
        <w:tblLook w:firstColumn="1" w:firstRow="1" w:lastColumn="0" w:lastRow="0" w:noHBand="0" w:noVBand="1" w:val="04A0"/>
      </w:tblPr>
      <w:tblGrid>
        <w:gridCol w:w="3389"/>
        <w:gridCol w:w="3389"/>
        <w:gridCol w:w="3389"/>
      </w:tblGrid>
      <w:tr>
        <w:tc>
          <w:tcPr>
            <w:tcW w:type="dxa" w:w="792"/>
            <w:vAlign w:val="center"/>
            <w:tcMar>
              <w:top w:w="80" w:type="dxa"/>
              <w:start w:w="100" w:type="dxa"/>
              <w:bottom w:w="80" w:type="dxa"/>
              <w:end w:w="100" w:type="dxa"/>
            </w:tcMar>
            <w:shd w:fill="07111D"/>
          </w:tcPr>
          <w:p>
            <w:pPr>
              <w:spacing w:after="0" w:line="240" w:lineRule="auto"/>
            </w:pPr>
            <w:r>
              <w:rPr>
                <w:rFonts w:ascii="Aptos" w:hAnsi="Aptos"/>
                <w:b/>
                <w:color w:val="FFFFFF"/>
                <w:sz w:val="14"/>
              </w:rPr>
              <w:t>Gate</w:t>
            </w:r>
          </w:p>
        </w:tc>
        <w:tc>
          <w:tcPr>
            <w:tcW w:type="dxa" w:w="3024"/>
            <w:vAlign w:val="center"/>
            <w:tcMar>
              <w:top w:w="80" w:type="dxa"/>
              <w:start w:w="100" w:type="dxa"/>
              <w:bottom w:w="80" w:type="dxa"/>
              <w:end w:w="100" w:type="dxa"/>
            </w:tcMar>
            <w:shd w:fill="07111D"/>
          </w:tcPr>
          <w:p>
            <w:pPr>
              <w:spacing w:after="0" w:line="240" w:lineRule="auto"/>
            </w:pPr>
            <w:r>
              <w:rPr>
                <w:rFonts w:ascii="Aptos" w:hAnsi="Aptos"/>
                <w:b/>
                <w:color w:val="FFFFFF"/>
                <w:sz w:val="14"/>
              </w:rPr>
              <w:t>Domain</w:t>
            </w:r>
          </w:p>
        </w:tc>
        <w:tc>
          <w:tcPr>
            <w:tcW w:type="dxa" w:w="6696"/>
            <w:vAlign w:val="center"/>
            <w:tcMar>
              <w:top w:w="80" w:type="dxa"/>
              <w:start w:w="100" w:type="dxa"/>
              <w:bottom w:w="80" w:type="dxa"/>
              <w:end w:w="100" w:type="dxa"/>
            </w:tcMar>
            <w:shd w:fill="07111D"/>
          </w:tcPr>
          <w:p>
            <w:pPr>
              <w:spacing w:after="0" w:line="240" w:lineRule="auto"/>
            </w:pPr>
            <w:r>
              <w:rPr>
                <w:rFonts w:ascii="Aptos" w:hAnsi="Aptos"/>
                <w:b/>
                <w:color w:val="FFFFFF"/>
                <w:sz w:val="14"/>
              </w:rPr>
              <w:t>Öffentliche Funktionsbeschreibung</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A</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Economic Arbitrage</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Netto-Arbitrage gegen eine institutionell definierte Mindestschwelle; Geldarithmetik in Integer Minor Units.</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B</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Liquidity Constraint</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Liquiditätsboden, Mindestpuffer und Headroom nach der modellierten Transaktion.</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C</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Counterparty / Debtor Risk</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Gebundener Credit/Risk State gegen autorisierte Grenzwerte. Externe Ratings bleiben externe Inputs.</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D</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Concentration / Exposure</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Debtor-, Sektor-, Länder- und Provider-Limits in Integer Basis Points.</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E</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Contract / Assignment Eligibility</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Abtretbarkeit, Dispute State, Duplicate Assignment und Vertragsbedingungen mit Provenance-Referenzen.</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F</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Accounting / Balance-Sheet Effect</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Pro-forma-Kennzahlen und gebundener Derecognition State; Accounting-Qualifikation bleibt referenzierter Input.</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G</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Sanctions / AML / Entity State</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Auswertung des gebundenen Source State und seiner Freshness; kein absoluter „sanktionsfrei“-Claim.</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H</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Temporal Validity</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Zeitgebundene States; UNKNOWN fällt fail-closed.</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I</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Jurisdiction Closure</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Seller, Debtor, Factor, Payment, Governing Law, Account Location; Cross-border kann Review erfordern.</w:t>
            </w:r>
          </w:p>
        </w:tc>
      </w:tr>
      <w:tr>
        <w:tc>
          <w:tcPr>
            <w:tcW w:type="dxa" w:w="792"/>
            <w:vAlign w:val="center"/>
            <w:tcMar>
              <w:top w:w="80" w:type="dxa"/>
              <w:start w:w="100" w:type="dxa"/>
              <w:bottom w:w="80" w:type="dxa"/>
              <w:end w:w="100" w:type="dxa"/>
            </w:tcMar>
          </w:tcPr>
          <w:p>
            <w:pPr>
              <w:spacing w:after="0" w:line="240" w:lineRule="auto"/>
            </w:pPr>
            <w:r>
              <w:rPr>
                <w:rFonts w:ascii="Aptos" w:hAnsi="Aptos"/>
                <w:b w:val="0"/>
                <w:color w:val="10202E"/>
                <w:sz w:val="14"/>
              </w:rPr>
              <w:t>J</w:t>
            </w:r>
          </w:p>
        </w:tc>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4"/>
              </w:rPr>
              <w:t>Execution Policy</w:t>
            </w:r>
          </w:p>
        </w:tc>
        <w:tc>
          <w:tcPr>
            <w:tcW w:type="dxa" w:w="6696"/>
            <w:vAlign w:val="center"/>
            <w:tcMar>
              <w:top w:w="80" w:type="dxa"/>
              <w:start w:w="100" w:type="dxa"/>
              <w:bottom w:w="80" w:type="dxa"/>
              <w:end w:w="100" w:type="dxa"/>
            </w:tcMar>
          </w:tcPr>
          <w:p>
            <w:pPr>
              <w:spacing w:after="0" w:line="240" w:lineRule="auto"/>
            </w:pPr>
            <w:r>
              <w:rPr>
                <w:rFonts w:ascii="Aptos" w:hAnsi="Aptos"/>
                <w:b w:val="0"/>
                <w:color w:val="10202E"/>
                <w:sz w:val="14"/>
              </w:rPr>
              <w:t>Institutionelle Trigger wie Betragsschwellen, Cross-Border oder Recourse; Policy bleibt separat.</w:t>
            </w:r>
          </w:p>
        </w:tc>
      </w:tr>
    </w:tbl>
    <w:p>
      <w:pPr>
        <w:spacing w:after="40"/>
      </w:pPr>
    </w:p>
    <w:p>
      <w:pPr>
        <w:spacing w:before="180" w:after="120"/>
      </w:pPr>
      <w:r>
        <w:rPr>
          <w:rFonts w:ascii="Aptos" w:hAnsi="Aptos"/>
          <w:b/>
          <w:color w:val="07111D"/>
          <w:sz w:val="27"/>
        </w:rPr>
        <w:t>Typisierung der Ergebnisse</w:t>
      </w:r>
    </w:p>
    <w:p>
      <w:pPr>
        <w:spacing w:after="100" w:line="269" w:lineRule="auto"/>
      </w:pPr>
      <w:r>
        <w:rPr>
          <w:rFonts w:ascii="Aptos" w:hAnsi="Aptos"/>
          <w:b w:val="0"/>
          <w:color w:val="526273"/>
          <w:sz w:val="19"/>
        </w:rPr>
        <w:t>Ein Domain Gate liefert ein fachliches Ergebnisobjekt. Ein positives Ergebnis ist keine Capability. Ein negativer oder ungelöster erforderlicher Zustand verhindert die Capability oder erzwingt Review entsprechend der gebundenen institutionellen Policy.</w:t>
      </w:r>
    </w:p>
    <w:p>
      <w:pPr>
        <w:keepNext/>
        <w:spacing w:after="80"/>
      </w:pPr>
      <w:r>
        <w:rPr>
          <w:rFonts w:ascii="Aptos Mono" w:hAnsi="Aptos Mono"/>
          <w:b/>
          <w:color w:val="42D3C9"/>
          <w:sz w:val="14"/>
        </w:rPr>
        <w:t>FINANCIAL ARITHMETIC</w:t>
      </w:r>
    </w:p>
    <w:p>
      <w:pPr>
        <w:keepNext/>
        <w:spacing w:before="280" w:after="120"/>
      </w:pPr>
      <w:r>
        <w:rPr>
          <w:rFonts w:ascii="Aptos" w:hAnsi="Aptos"/>
          <w:b/>
          <w:color w:val="07111D"/>
          <w:sz w:val="40"/>
        </w:rPr>
        <w:t>4. Deterministische Geld- und Schwellenwertarithmetik</w:t>
      </w:r>
    </w:p>
    <w:p>
      <w:pPr>
        <w:spacing w:after="100" w:line="269" w:lineRule="auto"/>
      </w:pPr>
      <w:r>
        <w:rPr>
          <w:rFonts w:ascii="Aptos" w:hAnsi="Aptos"/>
          <w:b w:val="0"/>
          <w:color w:val="526273"/>
          <w:sz w:val="19"/>
        </w:rPr>
        <w:t>Für den Decision Cut werden Geldbeträge als Integer Minor Units und Entscheidungsgrenzen als Integer Basis Points repräsentiert. Dadurch werden binäre Floating-Point-Vergleiche aus der fachlichen Entscheidungslogik entfernt.</w:t>
      </w:r>
    </w:p>
    <w:tbl>
      <w:tblPr>
        <w:tblW w:type="auto" w:w="0"/>
        <w:jc w:val="center"/>
        <w:tblLayout w:type="fixed"/>
        <w:tblLook w:firstColumn="1" w:firstRow="1" w:lastColumn="0" w:lastRow="0" w:noHBand="0" w:noVBand="1" w:val="04A0"/>
      </w:tblPr>
      <w:tblGrid>
        <w:gridCol w:w="3389"/>
        <w:gridCol w:w="3389"/>
        <w:gridCol w:w="3389"/>
      </w:tblGrid>
      <w:tr>
        <w:tc>
          <w:tcPr>
            <w:tcW w:type="dxa" w:w="2376"/>
            <w:vAlign w:val="center"/>
            <w:tcMar>
              <w:top w:w="80" w:type="dxa"/>
              <w:start w:w="100" w:type="dxa"/>
              <w:bottom w:w="80" w:type="dxa"/>
              <w:end w:w="100" w:type="dxa"/>
            </w:tcMar>
            <w:shd w:fill="07111D"/>
          </w:tcPr>
          <w:p>
            <w:pPr>
              <w:spacing w:after="0" w:line="240" w:lineRule="auto"/>
            </w:pPr>
            <w:r>
              <w:rPr>
                <w:rFonts w:ascii="Aptos" w:hAnsi="Aptos"/>
                <w:b/>
                <w:color w:val="FFFFFF"/>
                <w:sz w:val="15"/>
              </w:rPr>
              <w:t>Bereich</w:t>
            </w:r>
          </w:p>
        </w:tc>
        <w:tc>
          <w:tcPr>
            <w:tcW w:type="dxa" w:w="3600"/>
            <w:vAlign w:val="center"/>
            <w:tcMar>
              <w:top w:w="80" w:type="dxa"/>
              <w:start w:w="100" w:type="dxa"/>
              <w:bottom w:w="80" w:type="dxa"/>
              <w:end w:w="100" w:type="dxa"/>
            </w:tcMar>
            <w:shd w:fill="07111D"/>
          </w:tcPr>
          <w:p>
            <w:pPr>
              <w:spacing w:after="0" w:line="240" w:lineRule="auto"/>
            </w:pPr>
            <w:r>
              <w:rPr>
                <w:rFonts w:ascii="Aptos" w:hAnsi="Aptos"/>
                <w:b/>
                <w:color w:val="FFFFFF"/>
                <w:sz w:val="15"/>
              </w:rPr>
              <w:t>Repräsentation</w:t>
            </w:r>
          </w:p>
        </w:tc>
        <w:tc>
          <w:tcPr>
            <w:tcW w:type="dxa" w:w="4536"/>
            <w:vAlign w:val="center"/>
            <w:tcMar>
              <w:top w:w="80" w:type="dxa"/>
              <w:start w:w="100" w:type="dxa"/>
              <w:bottom w:w="80" w:type="dxa"/>
              <w:end w:w="100" w:type="dxa"/>
            </w:tcMar>
            <w:shd w:fill="07111D"/>
          </w:tcPr>
          <w:p>
            <w:pPr>
              <w:spacing w:after="0" w:line="240" w:lineRule="auto"/>
            </w:pPr>
            <w:r>
              <w:rPr>
                <w:rFonts w:ascii="Aptos" w:hAnsi="Aptos"/>
                <w:b/>
                <w:color w:val="FFFFFF"/>
                <w:sz w:val="15"/>
              </w:rPr>
              <w:t>Beispiel</w:t>
            </w:r>
          </w:p>
        </w:tc>
      </w:tr>
      <w:tr>
        <w:tc>
          <w:tcPr>
            <w:tcW w:type="dxa" w:w="2376"/>
            <w:vAlign w:val="center"/>
            <w:tcMar>
              <w:top w:w="80" w:type="dxa"/>
              <w:start w:w="100" w:type="dxa"/>
              <w:bottom w:w="80" w:type="dxa"/>
              <w:end w:w="100" w:type="dxa"/>
            </w:tcMar>
          </w:tcPr>
          <w:p>
            <w:pPr>
              <w:spacing w:after="0" w:line="240" w:lineRule="auto"/>
            </w:pPr>
            <w:r>
              <w:rPr>
                <w:rFonts w:ascii="Aptos" w:hAnsi="Aptos"/>
                <w:b w:val="0"/>
                <w:color w:val="10202E"/>
                <w:sz w:val="15"/>
              </w:rPr>
              <w:t>Geld</w:t>
            </w:r>
          </w:p>
        </w:tc>
        <w:tc>
          <w:tcPr>
            <w:tcW w:type="dxa" w:w="3600"/>
            <w:vAlign w:val="center"/>
            <w:tcMar>
              <w:top w:w="80" w:type="dxa"/>
              <w:start w:w="100" w:type="dxa"/>
              <w:bottom w:w="80" w:type="dxa"/>
              <w:end w:w="100" w:type="dxa"/>
            </w:tcMar>
          </w:tcPr>
          <w:p>
            <w:pPr>
              <w:spacing w:after="0" w:line="240" w:lineRule="auto"/>
            </w:pPr>
            <w:r>
              <w:rPr>
                <w:rFonts w:ascii="Aptos" w:hAnsi="Aptos"/>
                <w:b w:val="0"/>
                <w:color w:val="10202E"/>
                <w:sz w:val="15"/>
              </w:rPr>
              <w:t>Integer Minor Units</w:t>
            </w:r>
          </w:p>
        </w:tc>
        <w:tc>
          <w:tcPr>
            <w:tcW w:type="dxa" w:w="4536"/>
            <w:vAlign w:val="center"/>
            <w:tcMar>
              <w:top w:w="80" w:type="dxa"/>
              <w:start w:w="100" w:type="dxa"/>
              <w:bottom w:w="80" w:type="dxa"/>
              <w:end w:w="100" w:type="dxa"/>
            </w:tcMar>
          </w:tcPr>
          <w:p>
            <w:pPr>
              <w:spacing w:after="0" w:line="240" w:lineRule="auto"/>
            </w:pPr>
            <w:r>
              <w:rPr>
                <w:rFonts w:ascii="Aptos" w:hAnsi="Aptos"/>
                <w:b w:val="0"/>
                <w:color w:val="10202E"/>
                <w:sz w:val="15"/>
              </w:rPr>
              <w:t>EUR 120.000,00 → 12.000.000 Cent</w:t>
            </w:r>
          </w:p>
        </w:tc>
      </w:tr>
      <w:tr>
        <w:tc>
          <w:tcPr>
            <w:tcW w:type="dxa" w:w="2376"/>
            <w:vAlign w:val="center"/>
            <w:tcMar>
              <w:top w:w="80" w:type="dxa"/>
              <w:start w:w="100" w:type="dxa"/>
              <w:bottom w:w="80" w:type="dxa"/>
              <w:end w:w="100" w:type="dxa"/>
            </w:tcMar>
          </w:tcPr>
          <w:p>
            <w:pPr>
              <w:spacing w:after="0" w:line="240" w:lineRule="auto"/>
            </w:pPr>
            <w:r>
              <w:rPr>
                <w:rFonts w:ascii="Aptos" w:hAnsi="Aptos"/>
                <w:b w:val="0"/>
                <w:color w:val="10202E"/>
                <w:sz w:val="15"/>
              </w:rPr>
              <w:t>PD / Risiko</w:t>
            </w:r>
          </w:p>
        </w:tc>
        <w:tc>
          <w:tcPr>
            <w:tcW w:type="dxa" w:w="3600"/>
            <w:vAlign w:val="center"/>
            <w:tcMar>
              <w:top w:w="80" w:type="dxa"/>
              <w:start w:w="100" w:type="dxa"/>
              <w:bottom w:w="80" w:type="dxa"/>
              <w:end w:w="100" w:type="dxa"/>
            </w:tcMar>
          </w:tcPr>
          <w:p>
            <w:pPr>
              <w:spacing w:after="0" w:line="240" w:lineRule="auto"/>
            </w:pPr>
            <w:r>
              <w:rPr>
                <w:rFonts w:ascii="Aptos" w:hAnsi="Aptos"/>
                <w:b w:val="0"/>
                <w:color w:val="10202E"/>
                <w:sz w:val="15"/>
              </w:rPr>
              <w:t>Integer Basis Points</w:t>
            </w:r>
          </w:p>
        </w:tc>
        <w:tc>
          <w:tcPr>
            <w:tcW w:type="dxa" w:w="4536"/>
            <w:vAlign w:val="center"/>
            <w:tcMar>
              <w:top w:w="80" w:type="dxa"/>
              <w:start w:w="100" w:type="dxa"/>
              <w:bottom w:w="80" w:type="dxa"/>
              <w:end w:w="100" w:type="dxa"/>
            </w:tcMar>
          </w:tcPr>
          <w:p>
            <w:pPr>
              <w:spacing w:after="0" w:line="240" w:lineRule="auto"/>
            </w:pPr>
            <w:r>
              <w:rPr>
                <w:rFonts w:ascii="Aptos" w:hAnsi="Aptos"/>
                <w:b w:val="0"/>
                <w:color w:val="10202E"/>
                <w:sz w:val="15"/>
              </w:rPr>
              <w:t>0,80 % → 80 bps</w:t>
            </w:r>
          </w:p>
        </w:tc>
      </w:tr>
      <w:tr>
        <w:tc>
          <w:tcPr>
            <w:tcW w:type="dxa" w:w="2376"/>
            <w:vAlign w:val="center"/>
            <w:tcMar>
              <w:top w:w="80" w:type="dxa"/>
              <w:start w:w="100" w:type="dxa"/>
              <w:bottom w:w="80" w:type="dxa"/>
              <w:end w:w="100" w:type="dxa"/>
            </w:tcMar>
          </w:tcPr>
          <w:p>
            <w:pPr>
              <w:spacing w:after="0" w:line="240" w:lineRule="auto"/>
            </w:pPr>
            <w:r>
              <w:rPr>
                <w:rFonts w:ascii="Aptos" w:hAnsi="Aptos"/>
                <w:b w:val="0"/>
                <w:color w:val="10202E"/>
                <w:sz w:val="15"/>
              </w:rPr>
              <w:t>Konzentration</w:t>
            </w:r>
          </w:p>
        </w:tc>
        <w:tc>
          <w:tcPr>
            <w:tcW w:type="dxa" w:w="3600"/>
            <w:vAlign w:val="center"/>
            <w:tcMar>
              <w:top w:w="80" w:type="dxa"/>
              <w:start w:w="100" w:type="dxa"/>
              <w:bottom w:w="80" w:type="dxa"/>
              <w:end w:w="100" w:type="dxa"/>
            </w:tcMar>
          </w:tcPr>
          <w:p>
            <w:pPr>
              <w:spacing w:after="0" w:line="240" w:lineRule="auto"/>
            </w:pPr>
            <w:r>
              <w:rPr>
                <w:rFonts w:ascii="Aptos" w:hAnsi="Aptos"/>
                <w:b w:val="0"/>
                <w:color w:val="10202E"/>
                <w:sz w:val="15"/>
              </w:rPr>
              <w:t>Integer Basis Points</w:t>
            </w:r>
          </w:p>
        </w:tc>
        <w:tc>
          <w:tcPr>
            <w:tcW w:type="dxa" w:w="4536"/>
            <w:vAlign w:val="center"/>
            <w:tcMar>
              <w:top w:w="80" w:type="dxa"/>
              <w:start w:w="100" w:type="dxa"/>
              <w:bottom w:w="80" w:type="dxa"/>
              <w:end w:w="100" w:type="dxa"/>
            </w:tcMar>
          </w:tcPr>
          <w:p>
            <w:pPr>
              <w:spacing w:after="0" w:line="240" w:lineRule="auto"/>
            </w:pPr>
            <w:r>
              <w:rPr>
                <w:rFonts w:ascii="Aptos" w:hAnsi="Aptos"/>
                <w:b w:val="0"/>
                <w:color w:val="10202E"/>
                <w:sz w:val="15"/>
              </w:rPr>
              <w:t>15 % → 1.500 bps</w:t>
            </w:r>
          </w:p>
        </w:tc>
      </w:tr>
      <w:tr>
        <w:tc>
          <w:tcPr>
            <w:tcW w:type="dxa" w:w="2376"/>
            <w:vAlign w:val="center"/>
            <w:tcMar>
              <w:top w:w="80" w:type="dxa"/>
              <w:start w:w="100" w:type="dxa"/>
              <w:bottom w:w="80" w:type="dxa"/>
              <w:end w:w="100" w:type="dxa"/>
            </w:tcMar>
          </w:tcPr>
          <w:p>
            <w:pPr>
              <w:spacing w:after="0" w:line="240" w:lineRule="auto"/>
            </w:pPr>
            <w:r>
              <w:rPr>
                <w:rFonts w:ascii="Aptos" w:hAnsi="Aptos"/>
                <w:b w:val="0"/>
                <w:color w:val="10202E"/>
                <w:sz w:val="15"/>
              </w:rPr>
              <w:t>Equity Target</w:t>
            </w:r>
          </w:p>
        </w:tc>
        <w:tc>
          <w:tcPr>
            <w:tcW w:type="dxa" w:w="3600"/>
            <w:vAlign w:val="center"/>
            <w:tcMar>
              <w:top w:w="80" w:type="dxa"/>
              <w:start w:w="100" w:type="dxa"/>
              <w:bottom w:w="80" w:type="dxa"/>
              <w:end w:w="100" w:type="dxa"/>
            </w:tcMar>
          </w:tcPr>
          <w:p>
            <w:pPr>
              <w:spacing w:after="0" w:line="240" w:lineRule="auto"/>
            </w:pPr>
            <w:r>
              <w:rPr>
                <w:rFonts w:ascii="Aptos" w:hAnsi="Aptos"/>
                <w:b w:val="0"/>
                <w:color w:val="10202E"/>
                <w:sz w:val="15"/>
              </w:rPr>
              <w:t>Integer Basis Points</w:t>
            </w:r>
          </w:p>
        </w:tc>
        <w:tc>
          <w:tcPr>
            <w:tcW w:type="dxa" w:w="4536"/>
            <w:vAlign w:val="center"/>
            <w:tcMar>
              <w:top w:w="80" w:type="dxa"/>
              <w:start w:w="100" w:type="dxa"/>
              <w:bottom w:w="80" w:type="dxa"/>
              <w:end w:w="100" w:type="dxa"/>
            </w:tcMar>
          </w:tcPr>
          <w:p>
            <w:pPr>
              <w:spacing w:after="0" w:line="240" w:lineRule="auto"/>
            </w:pPr>
            <w:r>
              <w:rPr>
                <w:rFonts w:ascii="Aptos" w:hAnsi="Aptos"/>
                <w:b w:val="0"/>
                <w:color w:val="10202E"/>
                <w:sz w:val="15"/>
              </w:rPr>
              <w:t>25 % → 2.500 bps</w:t>
            </w:r>
          </w:p>
        </w:tc>
      </w:tr>
      <w:tr>
        <w:tc>
          <w:tcPr>
            <w:tcW w:type="dxa" w:w="2376"/>
            <w:vAlign w:val="center"/>
            <w:tcMar>
              <w:top w:w="80" w:type="dxa"/>
              <w:start w:w="100" w:type="dxa"/>
              <w:bottom w:w="80" w:type="dxa"/>
              <w:end w:w="100" w:type="dxa"/>
            </w:tcMar>
          </w:tcPr>
          <w:p>
            <w:pPr>
              <w:spacing w:after="0" w:line="240" w:lineRule="auto"/>
            </w:pPr>
            <w:r>
              <w:rPr>
                <w:rFonts w:ascii="Aptos" w:hAnsi="Aptos"/>
                <w:b w:val="0"/>
                <w:color w:val="10202E"/>
                <w:sz w:val="15"/>
              </w:rPr>
              <w:t>Rundung</w:t>
            </w:r>
          </w:p>
        </w:tc>
        <w:tc>
          <w:tcPr>
            <w:tcW w:type="dxa" w:w="3600"/>
            <w:vAlign w:val="center"/>
            <w:tcMar>
              <w:top w:w="80" w:type="dxa"/>
              <w:start w:w="100" w:type="dxa"/>
              <w:bottom w:w="80" w:type="dxa"/>
              <w:end w:w="100" w:type="dxa"/>
            </w:tcMar>
          </w:tcPr>
          <w:p>
            <w:pPr>
              <w:spacing w:after="0" w:line="240" w:lineRule="auto"/>
            </w:pPr>
            <w:r>
              <w:rPr>
                <w:rFonts w:ascii="Aptos" w:hAnsi="Aptos"/>
                <w:b w:val="0"/>
                <w:color w:val="10202E"/>
                <w:sz w:val="15"/>
              </w:rPr>
              <w:t>Versionierte Precision Policy</w:t>
            </w:r>
          </w:p>
        </w:tc>
        <w:tc>
          <w:tcPr>
            <w:tcW w:type="dxa" w:w="4536"/>
            <w:vAlign w:val="center"/>
            <w:tcMar>
              <w:top w:w="80" w:type="dxa"/>
              <w:start w:w="100" w:type="dxa"/>
              <w:bottom w:w="80" w:type="dxa"/>
              <w:end w:w="100" w:type="dxa"/>
            </w:tcMar>
          </w:tcPr>
          <w:p>
            <w:pPr>
              <w:spacing w:after="0" w:line="240" w:lineRule="auto"/>
            </w:pPr>
            <w:r>
              <w:rPr>
                <w:rFonts w:ascii="Aptos" w:hAnsi="Aptos"/>
                <w:b w:val="0"/>
                <w:color w:val="10202E"/>
                <w:sz w:val="15"/>
              </w:rPr>
              <w:t>HALF_EVEN · ACT/365</w:t>
            </w:r>
          </w:p>
        </w:tc>
      </w:tr>
    </w:tbl>
    <w:p>
      <w:pPr>
        <w:spacing w:after="40"/>
      </w:pP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42D3C9"/>
                <w:sz w:val="18"/>
              </w:rPr>
              <w:t>CLAIM BOUNDARY</w:t>
            </w:r>
          </w:p>
          <w:p>
            <w:pPr>
              <w:spacing w:after="0" w:line="269" w:lineRule="auto"/>
            </w:pPr>
            <w:r>
              <w:rPr>
                <w:rFonts w:ascii="Aptos" w:hAnsi="Aptos"/>
                <w:b w:val="0"/>
                <w:color w:val="10202E"/>
                <w:sz w:val="18"/>
              </w:rPr>
              <w:t>Exakte Arithmetik macht die zugrunde liegenden wirtschaftlichen oder externen Inputs nicht automatisch wahr. Sie macht die Berechnungslogik reproduzierbar.</w:t>
            </w:r>
          </w:p>
        </w:tc>
      </w:tr>
    </w:tbl>
    <w:p>
      <w:pPr>
        <w:spacing w:after="40"/>
      </w:pPr>
    </w:p>
    <w:p>
      <w:r>
        <w:br w:type="page"/>
      </w:r>
    </w:p>
    <w:p>
      <w:pPr>
        <w:keepNext/>
        <w:spacing w:after="80"/>
      </w:pPr>
      <w:r>
        <w:rPr>
          <w:rFonts w:ascii="Aptos Mono" w:hAnsi="Aptos Mono"/>
          <w:b/>
          <w:color w:val="42D3C9"/>
          <w:sz w:val="14"/>
        </w:rPr>
        <w:t>EXECUTION RIGHTS</w:t>
      </w:r>
    </w:p>
    <w:p>
      <w:pPr>
        <w:keepNext/>
        <w:spacing w:before="280" w:after="120"/>
      </w:pPr>
      <w:r>
        <w:rPr>
          <w:rFonts w:ascii="Aptos" w:hAnsi="Aptos"/>
          <w:b/>
          <w:color w:val="07111D"/>
          <w:sz w:val="40"/>
        </w:rPr>
        <w:t>5. Die 5-Dimension Rights Closure</w:t>
      </w:r>
    </w:p>
    <w:p>
      <w:pPr>
        <w:spacing w:after="100" w:line="269" w:lineRule="auto"/>
      </w:pPr>
      <w:r>
        <w:rPr>
          <w:rFonts w:ascii="Aptos" w:hAnsi="Aptos"/>
          <w:b w:val="0"/>
          <w:color w:val="526273"/>
          <w:sz w:val="19"/>
        </w:rPr>
        <w:t>Nach den fachlichen Determinations prüft die Spine fünf Dimensionen. Kein Action Type darf diese Semantik überschreiben.</w:t>
      </w:r>
    </w:p>
    <w:tbl>
      <w:tblPr>
        <w:tblW w:type="auto" w:w="0"/>
        <w:jc w:val="center"/>
        <w:tblLayout w:type="fixed"/>
        <w:tblLook w:firstColumn="1" w:firstRow="1" w:lastColumn="0" w:lastRow="0" w:noHBand="0" w:noVBand="1" w:val="04A0"/>
      </w:tblPr>
      <w:tblGrid>
        <w:gridCol w:w="5083"/>
        <w:gridCol w:w="5083"/>
      </w:tblGrid>
      <w:tr>
        <w:tc>
          <w:tcPr>
            <w:tcW w:type="dxa" w:w="2304"/>
            <w:vAlign w:val="center"/>
            <w:tcMar>
              <w:top w:w="80" w:type="dxa"/>
              <w:start w:w="100" w:type="dxa"/>
              <w:bottom w:w="80" w:type="dxa"/>
              <w:end w:w="100" w:type="dxa"/>
            </w:tcMar>
            <w:shd w:fill="07111D"/>
          </w:tcPr>
          <w:p>
            <w:pPr>
              <w:spacing w:after="0" w:line="240" w:lineRule="auto"/>
            </w:pPr>
            <w:r>
              <w:rPr>
                <w:rFonts w:ascii="Aptos" w:hAnsi="Aptos"/>
                <w:b/>
                <w:color w:val="FFFFFF"/>
                <w:sz w:val="16"/>
              </w:rPr>
              <w:t>Dimension</w:t>
            </w:r>
          </w:p>
        </w:tc>
        <w:tc>
          <w:tcPr>
            <w:tcW w:type="dxa" w:w="8208"/>
            <w:vAlign w:val="center"/>
            <w:tcMar>
              <w:top w:w="80" w:type="dxa"/>
              <w:start w:w="100" w:type="dxa"/>
              <w:bottom w:w="80" w:type="dxa"/>
              <w:end w:w="100" w:type="dxa"/>
            </w:tcMar>
            <w:shd w:fill="07111D"/>
          </w:tcPr>
          <w:p>
            <w:pPr>
              <w:spacing w:after="0" w:line="240" w:lineRule="auto"/>
            </w:pPr>
            <w:r>
              <w:rPr>
                <w:rFonts w:ascii="Aptos" w:hAnsi="Aptos"/>
                <w:b/>
                <w:color w:val="FFFFFF"/>
                <w:sz w:val="16"/>
              </w:rPr>
              <w:t>Frage</w:t>
            </w:r>
          </w:p>
        </w:tc>
      </w:tr>
      <w:tr>
        <w:tc>
          <w:tcPr>
            <w:tcW w:type="dxa" w:w="2304"/>
            <w:vAlign w:val="center"/>
            <w:tcMar>
              <w:top w:w="80" w:type="dxa"/>
              <w:start w:w="100" w:type="dxa"/>
              <w:bottom w:w="80" w:type="dxa"/>
              <w:end w:w="100" w:type="dxa"/>
            </w:tcMar>
          </w:tcPr>
          <w:p>
            <w:pPr>
              <w:spacing w:after="0" w:line="240" w:lineRule="auto"/>
            </w:pPr>
            <w:r>
              <w:rPr>
                <w:rFonts w:ascii="Aptos" w:hAnsi="Aptos"/>
                <w:b w:val="0"/>
                <w:color w:val="10202E"/>
                <w:sz w:val="16"/>
              </w:rPr>
              <w:t>Authority</w:t>
            </w:r>
          </w:p>
        </w:tc>
        <w:tc>
          <w:tcPr>
            <w:tcW w:type="dxa" w:w="8208"/>
            <w:vAlign w:val="center"/>
            <w:tcMar>
              <w:top w:w="80" w:type="dxa"/>
              <w:start w:w="100" w:type="dxa"/>
              <w:bottom w:w="80" w:type="dxa"/>
              <w:end w:w="100" w:type="dxa"/>
            </w:tcMar>
          </w:tcPr>
          <w:p>
            <w:pPr>
              <w:spacing w:after="0" w:line="240" w:lineRule="auto"/>
            </w:pPr>
            <w:r>
              <w:rPr>
                <w:rFonts w:ascii="Aptos" w:hAnsi="Aptos"/>
                <w:b w:val="0"/>
                <w:color w:val="10202E"/>
                <w:sz w:val="16"/>
              </w:rPr>
              <w:t>Ist eine geeignete externe/institutionelle Authority gebunden und gültig?</w:t>
            </w:r>
          </w:p>
        </w:tc>
      </w:tr>
      <w:tr>
        <w:tc>
          <w:tcPr>
            <w:tcW w:type="dxa" w:w="2304"/>
            <w:vAlign w:val="center"/>
            <w:tcMar>
              <w:top w:w="80" w:type="dxa"/>
              <w:start w:w="100" w:type="dxa"/>
              <w:bottom w:w="80" w:type="dxa"/>
              <w:end w:w="100" w:type="dxa"/>
            </w:tcMar>
          </w:tcPr>
          <w:p>
            <w:pPr>
              <w:spacing w:after="0" w:line="240" w:lineRule="auto"/>
            </w:pPr>
            <w:r>
              <w:rPr>
                <w:rFonts w:ascii="Aptos" w:hAnsi="Aptos"/>
                <w:b w:val="0"/>
                <w:color w:val="10202E"/>
                <w:sz w:val="16"/>
              </w:rPr>
              <w:t>Rule</w:t>
            </w:r>
          </w:p>
        </w:tc>
        <w:tc>
          <w:tcPr>
            <w:tcW w:type="dxa" w:w="8208"/>
            <w:vAlign w:val="center"/>
            <w:tcMar>
              <w:top w:w="80" w:type="dxa"/>
              <w:start w:w="100" w:type="dxa"/>
              <w:bottom w:w="80" w:type="dxa"/>
              <w:end w:w="100" w:type="dxa"/>
            </w:tcMar>
          </w:tcPr>
          <w:p>
            <w:pPr>
              <w:spacing w:after="0" w:line="240" w:lineRule="auto"/>
            </w:pPr>
            <w:r>
              <w:rPr>
                <w:rFonts w:ascii="Aptos" w:hAnsi="Aptos"/>
                <w:b w:val="0"/>
                <w:color w:val="10202E"/>
                <w:sz w:val="16"/>
              </w:rPr>
              <w:t>Ist der relevante Rule/Policy State gebunden und anwendbar?</w:t>
            </w:r>
          </w:p>
        </w:tc>
      </w:tr>
      <w:tr>
        <w:tc>
          <w:tcPr>
            <w:tcW w:type="dxa" w:w="2304"/>
            <w:vAlign w:val="center"/>
            <w:tcMar>
              <w:top w:w="80" w:type="dxa"/>
              <w:start w:w="100" w:type="dxa"/>
              <w:bottom w:w="80" w:type="dxa"/>
              <w:end w:w="100" w:type="dxa"/>
            </w:tcMar>
          </w:tcPr>
          <w:p>
            <w:pPr>
              <w:spacing w:after="0" w:line="240" w:lineRule="auto"/>
            </w:pPr>
            <w:r>
              <w:rPr>
                <w:rFonts w:ascii="Aptos" w:hAnsi="Aptos"/>
                <w:b w:val="0"/>
                <w:color w:val="10202E"/>
                <w:sz w:val="16"/>
              </w:rPr>
              <w:t>Jurisdiction</w:t>
            </w:r>
          </w:p>
        </w:tc>
        <w:tc>
          <w:tcPr>
            <w:tcW w:type="dxa" w:w="8208"/>
            <w:vAlign w:val="center"/>
            <w:tcMar>
              <w:top w:w="80" w:type="dxa"/>
              <w:start w:w="100" w:type="dxa"/>
              <w:bottom w:w="80" w:type="dxa"/>
              <w:end w:w="100" w:type="dxa"/>
            </w:tcMar>
          </w:tcPr>
          <w:p>
            <w:pPr>
              <w:spacing w:after="0" w:line="240" w:lineRule="auto"/>
            </w:pPr>
            <w:r>
              <w:rPr>
                <w:rFonts w:ascii="Aptos" w:hAnsi="Aptos"/>
                <w:b w:val="0"/>
                <w:color w:val="10202E"/>
                <w:sz w:val="16"/>
              </w:rPr>
              <w:t>Ist der erforderliche Jurisdiction State für die Handlung geschlossen?</w:t>
            </w:r>
          </w:p>
        </w:tc>
      </w:tr>
      <w:tr>
        <w:tc>
          <w:tcPr>
            <w:tcW w:type="dxa" w:w="2304"/>
            <w:vAlign w:val="center"/>
            <w:tcMar>
              <w:top w:w="80" w:type="dxa"/>
              <w:start w:w="100" w:type="dxa"/>
              <w:bottom w:w="80" w:type="dxa"/>
              <w:end w:w="100" w:type="dxa"/>
            </w:tcMar>
          </w:tcPr>
          <w:p>
            <w:pPr>
              <w:spacing w:after="0" w:line="240" w:lineRule="auto"/>
            </w:pPr>
            <w:r>
              <w:rPr>
                <w:rFonts w:ascii="Aptos" w:hAnsi="Aptos"/>
                <w:b w:val="0"/>
                <w:color w:val="10202E"/>
                <w:sz w:val="16"/>
              </w:rPr>
              <w:t>Time</w:t>
            </w:r>
          </w:p>
        </w:tc>
        <w:tc>
          <w:tcPr>
            <w:tcW w:type="dxa" w:w="8208"/>
            <w:vAlign w:val="center"/>
            <w:tcMar>
              <w:top w:w="80" w:type="dxa"/>
              <w:start w:w="100" w:type="dxa"/>
              <w:bottom w:w="80" w:type="dxa"/>
              <w:end w:w="100" w:type="dxa"/>
            </w:tcMar>
          </w:tcPr>
          <w:p>
            <w:pPr>
              <w:spacing w:after="0" w:line="240" w:lineRule="auto"/>
            </w:pPr>
            <w:r>
              <w:rPr>
                <w:rFonts w:ascii="Aptos" w:hAnsi="Aptos"/>
                <w:b w:val="0"/>
                <w:color w:val="10202E"/>
                <w:sz w:val="16"/>
              </w:rPr>
              <w:t>Sind die erforderlichen zeitlichen Bedingungen geschlossen?</w:t>
            </w:r>
          </w:p>
        </w:tc>
      </w:tr>
      <w:tr>
        <w:tc>
          <w:tcPr>
            <w:tcW w:type="dxa" w:w="2304"/>
            <w:vAlign w:val="center"/>
            <w:tcMar>
              <w:top w:w="80" w:type="dxa"/>
              <w:start w:w="100" w:type="dxa"/>
              <w:bottom w:w="80" w:type="dxa"/>
              <w:end w:w="100" w:type="dxa"/>
            </w:tcMar>
          </w:tcPr>
          <w:p>
            <w:pPr>
              <w:spacing w:after="0" w:line="240" w:lineRule="auto"/>
            </w:pPr>
            <w:r>
              <w:rPr>
                <w:rFonts w:ascii="Aptos" w:hAnsi="Aptos"/>
                <w:b w:val="0"/>
                <w:color w:val="10202E"/>
                <w:sz w:val="16"/>
              </w:rPr>
              <w:t>Dependencies</w:t>
            </w:r>
          </w:p>
        </w:tc>
        <w:tc>
          <w:tcPr>
            <w:tcW w:type="dxa" w:w="8208"/>
            <w:vAlign w:val="center"/>
            <w:tcMar>
              <w:top w:w="80" w:type="dxa"/>
              <w:start w:w="100" w:type="dxa"/>
              <w:bottom w:w="80" w:type="dxa"/>
              <w:end w:w="100" w:type="dxa"/>
            </w:tcMar>
          </w:tcPr>
          <w:p>
            <w:pPr>
              <w:spacing w:after="0" w:line="240" w:lineRule="auto"/>
            </w:pPr>
            <w:r>
              <w:rPr>
                <w:rFonts w:ascii="Aptos" w:hAnsi="Aptos"/>
                <w:b w:val="0"/>
                <w:color w:val="10202E"/>
                <w:sz w:val="16"/>
              </w:rPr>
              <w:t>Sind alle erforderlichen Abhängigkeiten gebunden und erfüllt?</w:t>
            </w:r>
          </w:p>
        </w:tc>
      </w:tr>
    </w:tbl>
    <w:p>
      <w:pPr>
        <w:spacing w:after="40"/>
      </w:pP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C9962C"/>
                <w:sz w:val="18"/>
              </w:rPr>
              <w:t>CLOSURE RULE</w:t>
            </w:r>
          </w:p>
          <w:p>
            <w:pPr>
              <w:spacing w:after="0" w:line="269" w:lineRule="auto"/>
            </w:pPr>
            <w:r>
              <w:rPr>
                <w:rFonts w:ascii="Aptos" w:hAnsi="Aptos"/>
                <w:b w:val="0"/>
                <w:color w:val="10202E"/>
                <w:sz w:val="18"/>
              </w:rPr>
              <w:t>Nur wenn alle erforderlichen Dimensionen geschlossen sind und die erforderlichen Domain-Bedingungen erfüllt sind, darf der Capability Issuer eine Capability erzeugen. Andernfalls: keine Capability.</w:t>
            </w:r>
          </w:p>
        </w:tc>
      </w:tr>
    </w:tbl>
    <w:p>
      <w:pPr>
        <w:spacing w:after="40"/>
      </w:pPr>
    </w:p>
    <w:p>
      <w:pPr>
        <w:keepNext/>
        <w:spacing w:after="80"/>
      </w:pPr>
      <w:r>
        <w:rPr>
          <w:rFonts w:ascii="Aptos Mono" w:hAnsi="Aptos Mono"/>
          <w:b/>
          <w:color w:val="42D3C9"/>
          <w:sz w:val="14"/>
        </w:rPr>
        <w:t>FRESHNESS</w:t>
      </w:r>
    </w:p>
    <w:p>
      <w:pPr>
        <w:keepNext/>
        <w:spacing w:before="280" w:after="120"/>
      </w:pPr>
      <w:r>
        <w:rPr>
          <w:rFonts w:ascii="Aptos" w:hAnsi="Aptos"/>
          <w:b/>
          <w:color w:val="07111D"/>
          <w:sz w:val="40"/>
        </w:rPr>
        <w:t>6. Freshness und Capability-Laufzeit</w:t>
      </w:r>
    </w:p>
    <w:p>
      <w:pPr>
        <w:spacing w:after="100" w:line="269" w:lineRule="auto"/>
      </w:pPr>
      <w:r>
        <w:rPr>
          <w:rFonts w:ascii="Aptos" w:hAnsi="Aptos"/>
          <w:b w:val="0"/>
          <w:color w:val="526273"/>
          <w:sz w:val="19"/>
        </w:rPr>
        <w:t>Eine Capability darf keinen State überleben, den sie für ihre Determination benötigt. Deshalb wird für jeden freshness-relevanten State zwischen Beobachtungszeit, Freshness Window, abgeleitetem Bound, explizitem Bound und effektivem Bound unterschieden.</w:t>
      </w:r>
    </w:p>
    <w:tbl>
      <w:tblPr>
        <w:tblW w:type="auto" w:w="0"/>
        <w:jc w:val="center"/>
        <w:tblLayout w:type="fixed"/>
        <w:tblLook w:firstColumn="1" w:firstRow="1" w:lastColumn="0" w:lastRow="0" w:noHBand="0" w:noVBand="1" w:val="04A0"/>
      </w:tblPr>
      <w:tblGrid>
        <w:gridCol w:w="5083"/>
        <w:gridCol w:w="5083"/>
      </w:tblGrid>
      <w:tr>
        <w:tc>
          <w:tcPr>
            <w:tcW w:type="dxa" w:w="3240"/>
            <w:vAlign w:val="center"/>
            <w:tcMar>
              <w:top w:w="80" w:type="dxa"/>
              <w:start w:w="100" w:type="dxa"/>
              <w:bottom w:w="80" w:type="dxa"/>
              <w:end w:w="100" w:type="dxa"/>
            </w:tcMar>
            <w:shd w:fill="07111D"/>
          </w:tcPr>
          <w:p>
            <w:pPr>
              <w:spacing w:after="0" w:line="240" w:lineRule="auto"/>
            </w:pPr>
            <w:r>
              <w:rPr>
                <w:rFonts w:ascii="Aptos" w:hAnsi="Aptos"/>
                <w:b/>
                <w:color w:val="FFFFFF"/>
                <w:sz w:val="15"/>
              </w:rPr>
              <w:t>Feld</w:t>
            </w:r>
          </w:p>
        </w:tc>
        <w:tc>
          <w:tcPr>
            <w:tcW w:type="dxa" w:w="7272"/>
            <w:vAlign w:val="center"/>
            <w:tcMar>
              <w:top w:w="80" w:type="dxa"/>
              <w:start w:w="100" w:type="dxa"/>
              <w:bottom w:w="80" w:type="dxa"/>
              <w:end w:w="100" w:type="dxa"/>
            </w:tcMar>
            <w:shd w:fill="07111D"/>
          </w:tcPr>
          <w:p>
            <w:pPr>
              <w:spacing w:after="0" w:line="240" w:lineRule="auto"/>
            </w:pPr>
            <w:r>
              <w:rPr>
                <w:rFonts w:ascii="Aptos" w:hAnsi="Aptos"/>
                <w:b/>
                <w:color w:val="FFFFFF"/>
                <w:sz w:val="15"/>
              </w:rPr>
              <w:t>Bedeutung</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observed_at</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Zeitpunkt, zu dem der State beobachtet/bezogen wurde</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freshness_window_hours</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Institutionell definierte maximale Freshness</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freshness_derived_until</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observed_at + freshness window</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explicit_valid_until</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Extern oder normativ gesetztes Ablaufdatum, falls vorhanden</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effective_valid_until</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Frühester relevanter Bound</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effective_valid_until_reason</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z. B. FRESHNESS_DERIVED oder MIN_OF_BOUNDS</w:t>
            </w:r>
          </w:p>
        </w:tc>
      </w:tr>
      <w:tr>
        <w:tc>
          <w:tcPr>
            <w:tcW w:type="dxa" w:w="3240"/>
            <w:vAlign w:val="center"/>
            <w:tcMar>
              <w:top w:w="80" w:type="dxa"/>
              <w:start w:w="100" w:type="dxa"/>
              <w:bottom w:w="80" w:type="dxa"/>
              <w:end w:w="100" w:type="dxa"/>
            </w:tcMar>
          </w:tcPr>
          <w:p>
            <w:pPr>
              <w:spacing w:after="0" w:line="240" w:lineRule="auto"/>
            </w:pPr>
            <w:r>
              <w:rPr>
                <w:rFonts w:ascii="Aptos" w:hAnsi="Aptos"/>
                <w:b w:val="0"/>
                <w:color w:val="10202E"/>
                <w:sz w:val="15"/>
              </w:rPr>
              <w:t>status</w:t>
            </w:r>
          </w:p>
        </w:tc>
        <w:tc>
          <w:tcPr>
            <w:tcW w:type="dxa" w:w="7272"/>
            <w:vAlign w:val="center"/>
            <w:tcMar>
              <w:top w:w="80" w:type="dxa"/>
              <w:start w:w="100" w:type="dxa"/>
              <w:bottom w:w="80" w:type="dxa"/>
              <w:end w:w="100" w:type="dxa"/>
            </w:tcMar>
          </w:tcPr>
          <w:p>
            <w:pPr>
              <w:spacing w:after="0" w:line="240" w:lineRule="auto"/>
            </w:pPr>
            <w:r>
              <w:rPr>
                <w:rFonts w:ascii="Aptos" w:hAnsi="Aptos"/>
                <w:b w:val="0"/>
                <w:color w:val="10202E"/>
                <w:sz w:val="15"/>
              </w:rPr>
              <w:t>FRESH · STALE · EXPIRED · UNKNOWN</w:t>
            </w:r>
          </w:p>
        </w:tc>
      </w:tr>
    </w:tbl>
    <w:p>
      <w:pPr>
        <w:spacing w:after="40"/>
      </w:pPr>
    </w:p>
    <w:p>
      <w:pPr>
        <w:spacing w:after="100" w:line="269" w:lineRule="auto"/>
      </w:pPr>
      <w:r>
        <w:rPr>
          <w:rFonts w:ascii="Aptos" w:hAnsi="Aptos"/>
          <w:b w:val="0"/>
          <w:color w:val="526273"/>
          <w:sz w:val="19"/>
        </w:rPr>
        <w:t>Capability.valid_until wird aus dem frühesten execution-relevanten Bound abgeleitet. UNKNOWN darf nicht stillschweigend als unbegrenzt interpretiert werden; ein unbekannter erforderlicher Temporal State fällt fail-closed.</w:t>
      </w:r>
    </w:p>
    <w:p>
      <w:pPr>
        <w:keepNext/>
        <w:spacing w:after="80"/>
      </w:pPr>
      <w:r>
        <w:rPr>
          <w:rFonts w:ascii="Aptos Mono" w:hAnsi="Aptos Mono"/>
          <w:b/>
          <w:color w:val="42D3C9"/>
          <w:sz w:val="14"/>
        </w:rPr>
        <w:t>CAPABILITY &amp; EXECUTION</w:t>
      </w:r>
    </w:p>
    <w:p>
      <w:pPr>
        <w:keepNext/>
        <w:spacing w:before="280" w:after="120"/>
      </w:pPr>
      <w:r>
        <w:rPr>
          <w:rFonts w:ascii="Aptos" w:hAnsi="Aptos"/>
          <w:b/>
          <w:color w:val="07111D"/>
          <w:sz w:val="40"/>
        </w:rPr>
        <w:t>7. Capability Issuance Receipt und Execution Receipt</w:t>
      </w:r>
    </w:p>
    <w:p>
      <w:pPr>
        <w:spacing w:after="100" w:line="269" w:lineRule="auto"/>
      </w:pPr>
      <w:r>
        <w:rPr>
          <w:rFonts w:ascii="Aptos" w:hAnsi="Aptos"/>
          <w:b w:val="0"/>
          <w:color w:val="526273"/>
          <w:sz w:val="19"/>
        </w:rPr>
        <w:t>Die Spine erzeugt ein Capability Issuance Receipt. Der tatsächliche Executor erzeugt nach einer realen Handlung ein separates Execution Receipt. Diese Trennung verhindert, dass eine Erlaubnis mit der tatsächlichen Transaktion verwechselt wird.</w:t>
      </w:r>
    </w:p>
    <w:tbl>
      <w:tblPr>
        <w:tblW w:type="auto" w:w="0"/>
        <w:jc w:val="center"/>
        <w:tblLayout w:type="fixed"/>
        <w:tblLook w:firstColumn="1" w:firstRow="1" w:lastColumn="0" w:lastRow="0" w:noHBand="0" w:noVBand="1" w:val="04A0"/>
      </w:tblPr>
      <w:tblGrid>
        <w:gridCol w:w="3389"/>
        <w:gridCol w:w="3389"/>
        <w:gridCol w:w="3389"/>
      </w:tblGrid>
      <w:tr>
        <w:tc>
          <w:tcPr>
            <w:tcW w:type="dxa" w:w="2880"/>
            <w:vAlign w:val="center"/>
            <w:tcMar>
              <w:top w:w="80" w:type="dxa"/>
              <w:start w:w="100" w:type="dxa"/>
              <w:bottom w:w="80" w:type="dxa"/>
              <w:end w:w="100" w:type="dxa"/>
            </w:tcMar>
            <w:shd w:fill="07111D"/>
          </w:tcPr>
          <w:p>
            <w:pPr>
              <w:spacing w:after="0" w:line="240" w:lineRule="auto"/>
            </w:pPr>
            <w:r>
              <w:rPr>
                <w:rFonts w:ascii="Aptos" w:hAnsi="Aptos"/>
                <w:b/>
                <w:color w:val="FFFFFF"/>
                <w:sz w:val="15"/>
              </w:rPr>
              <w:t>Artefakt</w:t>
            </w:r>
          </w:p>
        </w:tc>
        <w:tc>
          <w:tcPr>
            <w:tcW w:type="dxa" w:w="2232"/>
            <w:vAlign w:val="center"/>
            <w:tcMar>
              <w:top w:w="80" w:type="dxa"/>
              <w:start w:w="100" w:type="dxa"/>
              <w:bottom w:w="80" w:type="dxa"/>
              <w:end w:w="100" w:type="dxa"/>
            </w:tcMar>
            <w:shd w:fill="07111D"/>
          </w:tcPr>
          <w:p>
            <w:pPr>
              <w:spacing w:after="0" w:line="240" w:lineRule="auto"/>
            </w:pPr>
            <w:r>
              <w:rPr>
                <w:rFonts w:ascii="Aptos" w:hAnsi="Aptos"/>
                <w:b/>
                <w:color w:val="FFFFFF"/>
                <w:sz w:val="15"/>
              </w:rPr>
              <w:t>Erzeuger</w:t>
            </w:r>
          </w:p>
        </w:tc>
        <w:tc>
          <w:tcPr>
            <w:tcW w:type="dxa" w:w="5400"/>
            <w:vAlign w:val="center"/>
            <w:tcMar>
              <w:top w:w="80" w:type="dxa"/>
              <w:start w:w="100" w:type="dxa"/>
              <w:bottom w:w="80" w:type="dxa"/>
              <w:end w:w="100" w:type="dxa"/>
            </w:tcMar>
            <w:shd w:fill="07111D"/>
          </w:tcPr>
          <w:p>
            <w:pPr>
              <w:spacing w:after="0" w:line="240" w:lineRule="auto"/>
            </w:pPr>
            <w:r>
              <w:rPr>
                <w:rFonts w:ascii="Aptos" w:hAnsi="Aptos"/>
                <w:b/>
                <w:color w:val="FFFFFF"/>
                <w:sz w:val="15"/>
              </w:rPr>
              <w:t>Belegt</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Capability Issuance Receipt</w:t>
            </w:r>
          </w:p>
        </w:tc>
        <w:tc>
          <w:tcPr>
            <w:tcW w:type="dxa" w:w="2232"/>
            <w:vAlign w:val="center"/>
            <w:tcMar>
              <w:top w:w="80" w:type="dxa"/>
              <w:start w:w="100" w:type="dxa"/>
              <w:bottom w:w="80" w:type="dxa"/>
              <w:end w:w="100" w:type="dxa"/>
            </w:tcMar>
          </w:tcPr>
          <w:p>
            <w:pPr>
              <w:spacing w:after="0" w:line="240" w:lineRule="auto"/>
            </w:pPr>
            <w:r>
              <w:rPr>
                <w:rFonts w:ascii="Aptos" w:hAnsi="Aptos"/>
                <w:b w:val="0"/>
                <w:color w:val="10202E"/>
                <w:sz w:val="15"/>
              </w:rPr>
              <w:t>Treasury Rights Spine</w:t>
            </w:r>
          </w:p>
        </w:tc>
        <w:tc>
          <w:tcPr>
            <w:tcW w:type="dxa" w:w="5400"/>
            <w:vAlign w:val="center"/>
            <w:tcMar>
              <w:top w:w="80" w:type="dxa"/>
              <w:start w:w="100" w:type="dxa"/>
              <w:bottom w:w="80" w:type="dxa"/>
              <w:end w:w="100" w:type="dxa"/>
            </w:tcMar>
          </w:tcPr>
          <w:p>
            <w:pPr>
              <w:spacing w:after="0" w:line="240" w:lineRule="auto"/>
            </w:pPr>
            <w:r>
              <w:rPr>
                <w:rFonts w:ascii="Aptos" w:hAnsi="Aptos"/>
                <w:b w:val="0"/>
                <w:color w:val="10202E"/>
                <w:sz w:val="15"/>
              </w:rPr>
              <w:t>Gebundene States, Domain Determinations, Rights Closure, Freshness, Capability-Scope und Gültigkeitsfenster. ISSUED ≠ EXECUTED.</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Execution Receipt</w:t>
            </w:r>
          </w:p>
        </w:tc>
        <w:tc>
          <w:tcPr>
            <w:tcW w:type="dxa" w:w="2232"/>
            <w:vAlign w:val="center"/>
            <w:tcMar>
              <w:top w:w="80" w:type="dxa"/>
              <w:start w:w="100" w:type="dxa"/>
              <w:bottom w:w="80" w:type="dxa"/>
              <w:end w:w="100" w:type="dxa"/>
            </w:tcMar>
          </w:tcPr>
          <w:p>
            <w:pPr>
              <w:spacing w:after="0" w:line="240" w:lineRule="auto"/>
            </w:pPr>
            <w:r>
              <w:rPr>
                <w:rFonts w:ascii="Aptos" w:hAnsi="Aptos"/>
                <w:b w:val="0"/>
                <w:color w:val="10202E"/>
                <w:sz w:val="15"/>
              </w:rPr>
              <w:t>Authorized Executor</w:t>
            </w:r>
          </w:p>
        </w:tc>
        <w:tc>
          <w:tcPr>
            <w:tcW w:type="dxa" w:w="5400"/>
            <w:vAlign w:val="center"/>
            <w:tcMar>
              <w:top w:w="80" w:type="dxa"/>
              <w:start w:w="100" w:type="dxa"/>
              <w:bottom w:w="80" w:type="dxa"/>
              <w:end w:w="100" w:type="dxa"/>
            </w:tcMar>
          </w:tcPr>
          <w:p>
            <w:pPr>
              <w:spacing w:after="0" w:line="240" w:lineRule="auto"/>
            </w:pPr>
            <w:r>
              <w:rPr>
                <w:rFonts w:ascii="Aptos" w:hAnsi="Aptos"/>
                <w:b w:val="0"/>
                <w:color w:val="10202E"/>
                <w:sz w:val="15"/>
              </w:rPr>
              <w:t>Capability-Referenz, tatsächlicher Ausführungszeitpunkt, Execution Result, Settlement-Referenz und Ausführungs-Evidence.</w:t>
            </w:r>
          </w:p>
        </w:tc>
      </w:tr>
    </w:tbl>
    <w:p>
      <w:pPr>
        <w:spacing w:after="40"/>
      </w:pPr>
    </w:p>
    <w:p>
      <w:pPr>
        <w:keepNext/>
        <w:spacing w:after="80"/>
      </w:pPr>
      <w:r>
        <w:rPr>
          <w:rFonts w:ascii="Aptos Mono" w:hAnsi="Aptos Mono"/>
          <w:b/>
          <w:color w:val="42D3C9"/>
          <w:sz w:val="14"/>
        </w:rPr>
        <w:t>EVIDENCE</w:t>
      </w:r>
    </w:p>
    <w:p>
      <w:pPr>
        <w:keepNext/>
        <w:spacing w:before="280" w:after="120"/>
      </w:pPr>
      <w:r>
        <w:rPr>
          <w:rFonts w:ascii="Aptos" w:hAnsi="Aptos"/>
          <w:b/>
          <w:color w:val="07111D"/>
          <w:sz w:val="40"/>
        </w:rPr>
        <w:t>8. Hashing, Tamper Evidence und Provenance</w:t>
      </w:r>
    </w:p>
    <w:p>
      <w:pPr>
        <w:spacing w:after="100" w:line="269" w:lineRule="auto"/>
      </w:pPr>
      <w:r>
        <w:rPr>
          <w:rFonts w:ascii="Aptos" w:hAnsi="Aptos"/>
          <w:b w:val="0"/>
          <w:color w:val="526273"/>
          <w:sz w:val="19"/>
        </w:rPr>
        <w:t>Evidence-relevante Hashes verwenden SHA-256 über kanonisch serialisierte Daten mit Domain Separation. Der Determination Hash bindet den fachlichen Zustand; die Receipt Instance ID identifiziert eine konkrete Artefaktinstanz.</w:t>
      </w:r>
    </w:p>
    <w:p>
      <w:pPr>
        <w:spacing w:after="100" w:line="269" w:lineRule="auto"/>
      </w:pPr>
      <w:r>
        <w:rPr>
          <w:rFonts w:ascii="Aptos" w:hAnsi="Aptos"/>
          <w:b w:val="0"/>
          <w:color w:val="526273"/>
          <w:sz w:val="19"/>
        </w:rPr>
        <w:t>Öffentlich gilt bewusst: tamper-evident/integrity-bound ist nicht dasselbe wie immutable. Ein Hash macht Änderungen erkennbar, verhindert aber nicht allein das Ersetzen einer Datei. Stärkere Nachweisbarkeit entsteht erst durch die vorgesehene signierte oder append-only Evidence-Infrastruktur.</w:t>
      </w:r>
    </w:p>
    <w:p>
      <w:pPr>
        <w:spacing w:before="180" w:after="120"/>
      </w:pPr>
      <w:r>
        <w:rPr>
          <w:rFonts w:ascii="Aptos" w:hAnsi="Aptos"/>
          <w:b/>
          <w:color w:val="07111D"/>
          <w:sz w:val="27"/>
        </w:rPr>
        <w:t>Sensitive State Provenance</w:t>
      </w:r>
    </w:p>
    <w:p>
      <w:pPr>
        <w:spacing w:after="100" w:line="269" w:lineRule="auto"/>
      </w:pPr>
      <w:r>
        <w:rPr>
          <w:rFonts w:ascii="Aptos" w:hAnsi="Aptos"/>
          <w:b w:val="0"/>
          <w:color w:val="526273"/>
          <w:sz w:val="19"/>
        </w:rPr>
        <w:t>Rechtlich oder bilanziell sensible States wie Abtretbarkeit oder Derecognition werden nicht nur als fertige Labels konsumiert. Das Receipt kann zusätzlich State-Referenz, Quelle und Verifikationszeitpunkt binden.</w:t>
      </w:r>
    </w:p>
    <w:p>
      <w:r>
        <w:br w:type="page"/>
      </w:r>
    </w:p>
    <w:p>
      <w:pPr>
        <w:keepNext/>
        <w:spacing w:after="80"/>
      </w:pPr>
      <w:r>
        <w:rPr>
          <w:rFonts w:ascii="Aptos Mono" w:hAnsi="Aptos Mono"/>
          <w:b/>
          <w:color w:val="42D3C9"/>
          <w:sz w:val="14"/>
        </w:rPr>
        <w:t>SYSTEM INVARIANTS</w:t>
      </w:r>
    </w:p>
    <w:p>
      <w:pPr>
        <w:keepNext/>
        <w:spacing w:before="280" w:after="120"/>
      </w:pPr>
      <w:r>
        <w:rPr>
          <w:rFonts w:ascii="Aptos" w:hAnsi="Aptos"/>
          <w:b/>
          <w:color w:val="07111D"/>
          <w:sz w:val="40"/>
        </w:rPr>
        <w:t>9. Die sechs Invarianten</w:t>
      </w:r>
    </w:p>
    <w:tbl>
      <w:tblPr>
        <w:tblW w:type="auto" w:w="0"/>
        <w:jc w:val="center"/>
        <w:tblLayout w:type="fixed"/>
        <w:tblLook w:firstColumn="1" w:firstRow="1" w:lastColumn="0" w:lastRow="0" w:noHBand="0" w:noVBand="1" w:val="04A0"/>
      </w:tblPr>
      <w:tblGrid>
        <w:gridCol w:w="3389"/>
        <w:gridCol w:w="3389"/>
        <w:gridCol w:w="3389"/>
      </w:tblGrid>
      <w:tr>
        <w:tc>
          <w:tcPr>
            <w:tcW w:type="dxa" w:w="648"/>
            <w:vAlign w:val="center"/>
            <w:tcMar>
              <w:top w:w="80" w:type="dxa"/>
              <w:start w:w="100" w:type="dxa"/>
              <w:bottom w:w="80" w:type="dxa"/>
              <w:end w:w="100" w:type="dxa"/>
            </w:tcMar>
            <w:shd w:fill="07111D"/>
          </w:tcPr>
          <w:p>
            <w:pPr>
              <w:spacing w:after="0" w:line="240" w:lineRule="auto"/>
            </w:pPr>
            <w:r>
              <w:rPr>
                <w:rFonts w:ascii="Aptos" w:hAnsi="Aptos"/>
                <w:b/>
                <w:color w:val="FFFFFF"/>
                <w:sz w:val="13"/>
              </w:rPr>
              <w:t>#</w:t>
            </w:r>
          </w:p>
        </w:tc>
        <w:tc>
          <w:tcPr>
            <w:tcW w:type="dxa" w:w="3672"/>
            <w:vAlign w:val="center"/>
            <w:tcMar>
              <w:top w:w="80" w:type="dxa"/>
              <w:start w:w="100" w:type="dxa"/>
              <w:bottom w:w="80" w:type="dxa"/>
              <w:end w:w="100" w:type="dxa"/>
            </w:tcMar>
            <w:shd w:fill="07111D"/>
          </w:tcPr>
          <w:p>
            <w:pPr>
              <w:spacing w:after="0" w:line="240" w:lineRule="auto"/>
            </w:pPr>
            <w:r>
              <w:rPr>
                <w:rFonts w:ascii="Aptos" w:hAnsi="Aptos"/>
                <w:b/>
                <w:color w:val="FFFFFF"/>
                <w:sz w:val="13"/>
              </w:rPr>
              <w:t>Invariante</w:t>
            </w:r>
          </w:p>
        </w:tc>
        <w:tc>
          <w:tcPr>
            <w:tcW w:type="dxa" w:w="6192"/>
            <w:vAlign w:val="center"/>
            <w:tcMar>
              <w:top w:w="80" w:type="dxa"/>
              <w:start w:w="100" w:type="dxa"/>
              <w:bottom w:w="80" w:type="dxa"/>
              <w:end w:w="100" w:type="dxa"/>
            </w:tcMar>
            <w:shd w:fill="07111D"/>
          </w:tcPr>
          <w:p>
            <w:pPr>
              <w:spacing w:after="0" w:line="240" w:lineRule="auto"/>
            </w:pPr>
            <w:r>
              <w:rPr>
                <w:rFonts w:ascii="Aptos" w:hAnsi="Aptos"/>
                <w:b/>
                <w:color w:val="FFFFFF"/>
                <w:sz w:val="13"/>
              </w:rPr>
              <w:t>Konsequenz</w:t>
            </w:r>
          </w:p>
        </w:tc>
      </w:tr>
      <w:tr>
        <w:tc>
          <w:tcPr>
            <w:tcW w:type="dxa" w:w="648"/>
            <w:vAlign w:val="center"/>
            <w:tcMar>
              <w:top w:w="80" w:type="dxa"/>
              <w:start w:w="100" w:type="dxa"/>
              <w:bottom w:w="80" w:type="dxa"/>
              <w:end w:w="100" w:type="dxa"/>
            </w:tcMar>
          </w:tcPr>
          <w:p>
            <w:pPr>
              <w:spacing w:after="0" w:line="240" w:lineRule="auto"/>
            </w:pPr>
            <w:r>
              <w:rPr>
                <w:rFonts w:ascii="Aptos" w:hAnsi="Aptos"/>
                <w:b w:val="0"/>
                <w:color w:val="10202E"/>
                <w:sz w:val="13"/>
              </w:rPr>
              <w:t>1</w:t>
            </w:r>
          </w:p>
        </w:tc>
        <w:tc>
          <w:tcPr>
            <w:tcW w:type="dxa" w:w="3672"/>
            <w:vAlign w:val="center"/>
            <w:tcMar>
              <w:top w:w="80" w:type="dxa"/>
              <w:start w:w="100" w:type="dxa"/>
              <w:bottom w:w="80" w:type="dxa"/>
              <w:end w:w="100" w:type="dxa"/>
            </w:tcMar>
          </w:tcPr>
          <w:p>
            <w:pPr>
              <w:spacing w:after="0" w:line="240" w:lineRule="auto"/>
            </w:pPr>
            <w:r>
              <w:rPr>
                <w:rFonts w:ascii="Aptos" w:hAnsi="Aptos"/>
                <w:b w:val="0"/>
                <w:color w:val="10202E"/>
                <w:sz w:val="13"/>
              </w:rPr>
              <w:t>Domain determination ≠ execution authorization</w:t>
            </w:r>
          </w:p>
        </w:tc>
        <w:tc>
          <w:tcPr>
            <w:tcW w:type="dxa" w:w="6192"/>
            <w:vAlign w:val="center"/>
            <w:tcMar>
              <w:top w:w="80" w:type="dxa"/>
              <w:start w:w="100" w:type="dxa"/>
              <w:bottom w:w="80" w:type="dxa"/>
              <w:end w:w="100" w:type="dxa"/>
            </w:tcMar>
          </w:tcPr>
          <w:p>
            <w:pPr>
              <w:spacing w:after="0" w:line="240" w:lineRule="auto"/>
            </w:pPr>
            <w:r>
              <w:rPr>
                <w:rFonts w:ascii="Aptos" w:hAnsi="Aptos"/>
                <w:b w:val="0"/>
                <w:color w:val="10202E"/>
                <w:sz w:val="13"/>
              </w:rPr>
              <w:t>Fachliches PASS erzeugt keine Ausführungserlaubnis.</w:t>
            </w:r>
          </w:p>
        </w:tc>
      </w:tr>
      <w:tr>
        <w:tc>
          <w:tcPr>
            <w:tcW w:type="dxa" w:w="648"/>
            <w:vAlign w:val="center"/>
            <w:tcMar>
              <w:top w:w="80" w:type="dxa"/>
              <w:start w:w="100" w:type="dxa"/>
              <w:bottom w:w="80" w:type="dxa"/>
              <w:end w:w="100" w:type="dxa"/>
            </w:tcMar>
          </w:tcPr>
          <w:p>
            <w:pPr>
              <w:spacing w:after="0" w:line="240" w:lineRule="auto"/>
            </w:pPr>
            <w:r>
              <w:rPr>
                <w:rFonts w:ascii="Aptos" w:hAnsi="Aptos"/>
                <w:b w:val="0"/>
                <w:color w:val="10202E"/>
                <w:sz w:val="13"/>
              </w:rPr>
              <w:t>2</w:t>
            </w:r>
          </w:p>
        </w:tc>
        <w:tc>
          <w:tcPr>
            <w:tcW w:type="dxa" w:w="3672"/>
            <w:vAlign w:val="center"/>
            <w:tcMar>
              <w:top w:w="80" w:type="dxa"/>
              <w:start w:w="100" w:type="dxa"/>
              <w:bottom w:w="80" w:type="dxa"/>
              <w:end w:w="100" w:type="dxa"/>
            </w:tcMar>
          </w:tcPr>
          <w:p>
            <w:pPr>
              <w:spacing w:after="0" w:line="240" w:lineRule="auto"/>
            </w:pPr>
            <w:r>
              <w:rPr>
                <w:rFonts w:ascii="Aptos" w:hAnsi="Aptos"/>
                <w:b w:val="0"/>
                <w:color w:val="10202E"/>
                <w:sz w:val="13"/>
              </w:rPr>
              <w:t>No capability without 5-dimension closure</w:t>
            </w:r>
          </w:p>
        </w:tc>
        <w:tc>
          <w:tcPr>
            <w:tcW w:type="dxa" w:w="6192"/>
            <w:vAlign w:val="center"/>
            <w:tcMar>
              <w:top w:w="80" w:type="dxa"/>
              <w:start w:w="100" w:type="dxa"/>
              <w:bottom w:w="80" w:type="dxa"/>
              <w:end w:w="100" w:type="dxa"/>
            </w:tcMar>
          </w:tcPr>
          <w:p>
            <w:pPr>
              <w:spacing w:after="0" w:line="240" w:lineRule="auto"/>
            </w:pPr>
            <w:r>
              <w:rPr>
                <w:rFonts w:ascii="Aptos" w:hAnsi="Aptos"/>
                <w:b w:val="0"/>
                <w:color w:val="10202E"/>
                <w:sz w:val="13"/>
              </w:rPr>
              <w:t>Authority, Rule, Jurisdiction, Time und Dependencies müssen für die konkrete Handlung geschlossen sein.</w:t>
            </w:r>
          </w:p>
        </w:tc>
      </w:tr>
      <w:tr>
        <w:tc>
          <w:tcPr>
            <w:tcW w:type="dxa" w:w="648"/>
            <w:vAlign w:val="center"/>
            <w:tcMar>
              <w:top w:w="80" w:type="dxa"/>
              <w:start w:w="100" w:type="dxa"/>
              <w:bottom w:w="80" w:type="dxa"/>
              <w:end w:w="100" w:type="dxa"/>
            </w:tcMar>
          </w:tcPr>
          <w:p>
            <w:pPr>
              <w:spacing w:after="0" w:line="240" w:lineRule="auto"/>
            </w:pPr>
            <w:r>
              <w:rPr>
                <w:rFonts w:ascii="Aptos" w:hAnsi="Aptos"/>
                <w:b w:val="0"/>
                <w:color w:val="10202E"/>
                <w:sz w:val="13"/>
              </w:rPr>
              <w:t>3</w:t>
            </w:r>
          </w:p>
        </w:tc>
        <w:tc>
          <w:tcPr>
            <w:tcW w:type="dxa" w:w="3672"/>
            <w:vAlign w:val="center"/>
            <w:tcMar>
              <w:top w:w="80" w:type="dxa"/>
              <w:start w:w="100" w:type="dxa"/>
              <w:bottom w:w="80" w:type="dxa"/>
              <w:end w:w="100" w:type="dxa"/>
            </w:tcMar>
          </w:tcPr>
          <w:p>
            <w:pPr>
              <w:spacing w:after="0" w:line="240" w:lineRule="auto"/>
            </w:pPr>
            <w:r>
              <w:rPr>
                <w:rFonts w:ascii="Aptos" w:hAnsi="Aptos"/>
                <w:b w:val="0"/>
                <w:color w:val="10202E"/>
                <w:sz w:val="13"/>
              </w:rPr>
              <w:t>Probabilistic inputs inform, do not authorize</w:t>
            </w:r>
          </w:p>
        </w:tc>
        <w:tc>
          <w:tcPr>
            <w:tcW w:type="dxa" w:w="6192"/>
            <w:vAlign w:val="center"/>
            <w:tcMar>
              <w:top w:w="80" w:type="dxa"/>
              <w:start w:w="100" w:type="dxa"/>
              <w:bottom w:w="80" w:type="dxa"/>
              <w:end w:w="100" w:type="dxa"/>
            </w:tcMar>
          </w:tcPr>
          <w:p>
            <w:pPr>
              <w:spacing w:after="0" w:line="240" w:lineRule="auto"/>
            </w:pPr>
            <w:r>
              <w:rPr>
                <w:rFonts w:ascii="Aptos" w:hAnsi="Aptos"/>
                <w:b w:val="0"/>
                <w:color w:val="10202E"/>
                <w:sz w:val="13"/>
              </w:rPr>
              <w:t>Externe/model-basierte Inputs erzeugen keine Authority.</w:t>
            </w:r>
          </w:p>
        </w:tc>
      </w:tr>
      <w:tr>
        <w:tc>
          <w:tcPr>
            <w:tcW w:type="dxa" w:w="648"/>
            <w:vAlign w:val="center"/>
            <w:tcMar>
              <w:top w:w="80" w:type="dxa"/>
              <w:start w:w="100" w:type="dxa"/>
              <w:bottom w:w="80" w:type="dxa"/>
              <w:end w:w="100" w:type="dxa"/>
            </w:tcMar>
          </w:tcPr>
          <w:p>
            <w:pPr>
              <w:spacing w:after="0" w:line="240" w:lineRule="auto"/>
            </w:pPr>
            <w:r>
              <w:rPr>
                <w:rFonts w:ascii="Aptos" w:hAnsi="Aptos"/>
                <w:b w:val="0"/>
                <w:color w:val="10202E"/>
                <w:sz w:val="13"/>
              </w:rPr>
              <w:t>4</w:t>
            </w:r>
          </w:p>
        </w:tc>
        <w:tc>
          <w:tcPr>
            <w:tcW w:type="dxa" w:w="3672"/>
            <w:vAlign w:val="center"/>
            <w:tcMar>
              <w:top w:w="80" w:type="dxa"/>
              <w:start w:w="100" w:type="dxa"/>
              <w:bottom w:w="80" w:type="dxa"/>
              <w:end w:w="100" w:type="dxa"/>
            </w:tcMar>
          </w:tcPr>
          <w:p>
            <w:pPr>
              <w:spacing w:after="0" w:line="240" w:lineRule="auto"/>
            </w:pPr>
            <w:r>
              <w:rPr>
                <w:rFonts w:ascii="Aptos" w:hAnsi="Aptos"/>
                <w:b w:val="0"/>
                <w:color w:val="10202E"/>
                <w:sz w:val="13"/>
              </w:rPr>
              <w:t>Unresolved required state → fail closed</w:t>
            </w:r>
          </w:p>
        </w:tc>
        <w:tc>
          <w:tcPr>
            <w:tcW w:type="dxa" w:w="6192"/>
            <w:vAlign w:val="center"/>
            <w:tcMar>
              <w:top w:w="80" w:type="dxa"/>
              <w:start w:w="100" w:type="dxa"/>
              <w:bottom w:w="80" w:type="dxa"/>
              <w:end w:w="100" w:type="dxa"/>
            </w:tcMar>
          </w:tcPr>
          <w:p>
            <w:pPr>
              <w:spacing w:after="0" w:line="240" w:lineRule="auto"/>
            </w:pPr>
            <w:r>
              <w:rPr>
                <w:rFonts w:ascii="Aptos" w:hAnsi="Aptos"/>
                <w:b w:val="0"/>
                <w:color w:val="10202E"/>
                <w:sz w:val="13"/>
              </w:rPr>
              <w:t>UNKNOWN/UNRESOLVED erzeugt keine Capability.</w:t>
            </w:r>
          </w:p>
        </w:tc>
      </w:tr>
      <w:tr>
        <w:tc>
          <w:tcPr>
            <w:tcW w:type="dxa" w:w="648"/>
            <w:vAlign w:val="center"/>
            <w:tcMar>
              <w:top w:w="80" w:type="dxa"/>
              <w:start w:w="100" w:type="dxa"/>
              <w:bottom w:w="80" w:type="dxa"/>
              <w:end w:w="100" w:type="dxa"/>
            </w:tcMar>
          </w:tcPr>
          <w:p>
            <w:pPr>
              <w:spacing w:after="0" w:line="240" w:lineRule="auto"/>
            </w:pPr>
            <w:r>
              <w:rPr>
                <w:rFonts w:ascii="Aptos" w:hAnsi="Aptos"/>
                <w:b w:val="0"/>
                <w:color w:val="10202E"/>
                <w:sz w:val="13"/>
              </w:rPr>
              <w:t>5</w:t>
            </w:r>
          </w:p>
        </w:tc>
        <w:tc>
          <w:tcPr>
            <w:tcW w:type="dxa" w:w="3672"/>
            <w:vAlign w:val="center"/>
            <w:tcMar>
              <w:top w:w="80" w:type="dxa"/>
              <w:start w:w="100" w:type="dxa"/>
              <w:bottom w:w="80" w:type="dxa"/>
              <w:end w:w="100" w:type="dxa"/>
            </w:tcMar>
          </w:tcPr>
          <w:p>
            <w:pPr>
              <w:spacing w:after="0" w:line="240" w:lineRule="auto"/>
            </w:pPr>
            <w:r>
              <w:rPr>
                <w:rFonts w:ascii="Aptos" w:hAnsi="Aptos"/>
                <w:b w:val="0"/>
                <w:color w:val="10202E"/>
                <w:sz w:val="13"/>
              </w:rPr>
              <w:t>Override mutates nothing</w:t>
            </w:r>
          </w:p>
        </w:tc>
        <w:tc>
          <w:tcPr>
            <w:tcW w:type="dxa" w:w="6192"/>
            <w:vAlign w:val="center"/>
            <w:tcMar>
              <w:top w:w="80" w:type="dxa"/>
              <w:start w:w="100" w:type="dxa"/>
              <w:bottom w:w="80" w:type="dxa"/>
              <w:end w:w="100" w:type="dxa"/>
            </w:tcMar>
          </w:tcPr>
          <w:p>
            <w:pPr>
              <w:spacing w:after="0" w:line="240" w:lineRule="auto"/>
            </w:pPr>
            <w:r>
              <w:rPr>
                <w:rFonts w:ascii="Aptos" w:hAnsi="Aptos"/>
                <w:b w:val="0"/>
                <w:color w:val="10202E"/>
                <w:sz w:val="13"/>
              </w:rPr>
              <w:t>Override erzeugt einen neuen attributierbaren State; Original bleibt separat.</w:t>
            </w:r>
          </w:p>
        </w:tc>
      </w:tr>
      <w:tr>
        <w:tc>
          <w:tcPr>
            <w:tcW w:type="dxa" w:w="648"/>
            <w:vAlign w:val="center"/>
            <w:tcMar>
              <w:top w:w="80" w:type="dxa"/>
              <w:start w:w="100" w:type="dxa"/>
              <w:bottom w:w="80" w:type="dxa"/>
              <w:end w:w="100" w:type="dxa"/>
            </w:tcMar>
          </w:tcPr>
          <w:p>
            <w:pPr>
              <w:spacing w:after="0" w:line="240" w:lineRule="auto"/>
            </w:pPr>
            <w:r>
              <w:rPr>
                <w:rFonts w:ascii="Aptos" w:hAnsi="Aptos"/>
                <w:b w:val="0"/>
                <w:color w:val="10202E"/>
                <w:sz w:val="13"/>
              </w:rPr>
              <w:t>6</w:t>
            </w:r>
          </w:p>
        </w:tc>
        <w:tc>
          <w:tcPr>
            <w:tcW w:type="dxa" w:w="3672"/>
            <w:vAlign w:val="center"/>
            <w:tcMar>
              <w:top w:w="80" w:type="dxa"/>
              <w:start w:w="100" w:type="dxa"/>
              <w:bottom w:w="80" w:type="dxa"/>
              <w:end w:w="100" w:type="dxa"/>
            </w:tcMar>
          </w:tcPr>
          <w:p>
            <w:pPr>
              <w:spacing w:after="0" w:line="240" w:lineRule="auto"/>
            </w:pPr>
            <w:r>
              <w:rPr>
                <w:rFonts w:ascii="Aptos" w:hAnsi="Aptos"/>
                <w:b w:val="0"/>
                <w:color w:val="10202E"/>
                <w:sz w:val="13"/>
              </w:rPr>
              <w:t>Action type defines gates, not execution rights</w:t>
            </w:r>
          </w:p>
        </w:tc>
        <w:tc>
          <w:tcPr>
            <w:tcW w:type="dxa" w:w="6192"/>
            <w:vAlign w:val="center"/>
            <w:tcMar>
              <w:top w:w="80" w:type="dxa"/>
              <w:start w:w="100" w:type="dxa"/>
              <w:bottom w:w="80" w:type="dxa"/>
              <w:end w:w="100" w:type="dxa"/>
            </w:tcMar>
          </w:tcPr>
          <w:p>
            <w:pPr>
              <w:spacing w:after="0" w:line="240" w:lineRule="auto"/>
            </w:pPr>
            <w:r>
              <w:rPr>
                <w:rFonts w:ascii="Aptos" w:hAnsi="Aptos"/>
                <w:b w:val="0"/>
                <w:color w:val="10202E"/>
                <w:sz w:val="13"/>
              </w:rPr>
              <w:t>Execution-Rights-Semantik gehört ausschließlich der Spine.</w:t>
            </w:r>
          </w:p>
        </w:tc>
      </w:tr>
    </w:tbl>
    <w:p>
      <w:pPr>
        <w:spacing w:after="40"/>
      </w:pPr>
    </w:p>
    <w:p>
      <w:r>
        <w:br w:type="page"/>
      </w:r>
    </w:p>
    <w:p>
      <w:pPr>
        <w:keepNext/>
        <w:spacing w:after="80"/>
      </w:pPr>
      <w:r>
        <w:rPr>
          <w:rFonts w:ascii="Aptos Mono" w:hAnsi="Aptos Mono"/>
          <w:b/>
          <w:color w:val="42D3C9"/>
          <w:sz w:val="14"/>
        </w:rPr>
        <w:t>ROADMAP</w:t>
      </w:r>
    </w:p>
    <w:p>
      <w:pPr>
        <w:keepNext/>
        <w:spacing w:before="280" w:after="120"/>
      </w:pPr>
      <w:r>
        <w:rPr>
          <w:rFonts w:ascii="Aptos" w:hAnsi="Aptos"/>
          <w:b/>
          <w:color w:val="07111D"/>
          <w:sz w:val="40"/>
        </w:rPr>
        <w:t>10. Action-Type-Modell</w:t>
      </w:r>
    </w:p>
    <w:p>
      <w:pPr>
        <w:spacing w:after="100" w:line="269" w:lineRule="auto"/>
      </w:pPr>
      <w:r>
        <w:rPr>
          <w:rFonts w:ascii="Aptos" w:hAnsi="Aptos"/>
          <w:b w:val="0"/>
          <w:color w:val="526273"/>
          <w:sz w:val="19"/>
        </w:rPr>
        <w:t>Der derzeit implementierte Referenz-Action-Type ist FACTOR_RECEIVABLE. Die folgenden weiteren Action Types sind Architekturziele und werden nicht als bereits implementierte Produktionsfunktionen dargestellt.</w:t>
      </w:r>
    </w:p>
    <w:tbl>
      <w:tblPr>
        <w:tblW w:type="auto" w:w="0"/>
        <w:jc w:val="center"/>
        <w:tblLayout w:type="fixed"/>
        <w:tblLook w:firstColumn="1" w:firstRow="1" w:lastColumn="0" w:lastRow="0" w:noHBand="0" w:noVBand="1" w:val="04A0"/>
      </w:tblPr>
      <w:tblGrid>
        <w:gridCol w:w="3389"/>
        <w:gridCol w:w="3389"/>
        <w:gridCol w:w="3389"/>
      </w:tblGrid>
      <w:tr>
        <w:tc>
          <w:tcPr>
            <w:tcW w:type="dxa" w:w="720"/>
            <w:vAlign w:val="center"/>
            <w:tcMar>
              <w:top w:w="80" w:type="dxa"/>
              <w:start w:w="100" w:type="dxa"/>
              <w:bottom w:w="80" w:type="dxa"/>
              <w:end w:w="100" w:type="dxa"/>
            </w:tcMar>
            <w:shd w:fill="07111D"/>
          </w:tcPr>
          <w:p>
            <w:pPr>
              <w:spacing w:after="0" w:line="240" w:lineRule="auto"/>
            </w:pPr>
            <w:r>
              <w:rPr>
                <w:rFonts w:ascii="Aptos" w:hAnsi="Aptos"/>
                <w:b/>
                <w:color w:val="FFFFFF"/>
                <w:sz w:val="15"/>
              </w:rPr>
              <w:t>#</w:t>
            </w:r>
          </w:p>
        </w:tc>
        <w:tc>
          <w:tcPr>
            <w:tcW w:type="dxa" w:w="7056"/>
            <w:vAlign w:val="center"/>
            <w:tcMar>
              <w:top w:w="80" w:type="dxa"/>
              <w:start w:w="100" w:type="dxa"/>
              <w:bottom w:w="80" w:type="dxa"/>
              <w:end w:w="100" w:type="dxa"/>
            </w:tcMar>
            <w:shd w:fill="07111D"/>
          </w:tcPr>
          <w:p>
            <w:pPr>
              <w:spacing w:after="0" w:line="240" w:lineRule="auto"/>
            </w:pPr>
            <w:r>
              <w:rPr>
                <w:rFonts w:ascii="Aptos" w:hAnsi="Aptos"/>
                <w:b/>
                <w:color w:val="FFFFFF"/>
                <w:sz w:val="15"/>
              </w:rPr>
              <w:t>Action Type</w:t>
            </w:r>
          </w:p>
        </w:tc>
        <w:tc>
          <w:tcPr>
            <w:tcW w:type="dxa" w:w="2736"/>
            <w:vAlign w:val="center"/>
            <w:tcMar>
              <w:top w:w="80" w:type="dxa"/>
              <w:start w:w="100" w:type="dxa"/>
              <w:bottom w:w="80" w:type="dxa"/>
              <w:end w:w="100" w:type="dxa"/>
            </w:tcMar>
            <w:shd w:fill="07111D"/>
          </w:tcPr>
          <w:p>
            <w:pPr>
              <w:spacing w:after="0" w:line="240" w:lineRule="auto"/>
            </w:pPr>
            <w:r>
              <w:rPr>
                <w:rFonts w:ascii="Aptos" w:hAnsi="Aptos"/>
                <w:b/>
                <w:color w:val="FFFFFF"/>
                <w:sz w:val="15"/>
              </w:rPr>
              <w:t>Status</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01</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FACTOR_RECEIVABLE</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IMPLEMENTIERT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02</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TAKE_EARLY_PAYMENT_DISCOUNT</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03</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DRAW_CREDIT_LINE</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04</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REPAY_CREDIT_LINE</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05</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MOVE_LIQUIDITY</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06</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EXECUTE_FX_HEDGE</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07</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EXECUTE_RATE_HEDGE</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08</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INITIATE_CASH_POOL_TRANSFER</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09</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INITIATE_SUPPLIER_FINANCE</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10</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EXECUTE_DYNAMIC_DISCOUNT</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r>
        <w:tc>
          <w:tcPr>
            <w:tcW w:type="dxa" w:w="720"/>
            <w:vAlign w:val="center"/>
            <w:tcMar>
              <w:top w:w="80" w:type="dxa"/>
              <w:start w:w="100" w:type="dxa"/>
              <w:bottom w:w="80" w:type="dxa"/>
              <w:end w:w="100" w:type="dxa"/>
            </w:tcMar>
          </w:tcPr>
          <w:p>
            <w:pPr>
              <w:spacing w:after="0" w:line="240" w:lineRule="auto"/>
            </w:pPr>
            <w:r>
              <w:rPr>
                <w:rFonts w:ascii="Aptos" w:hAnsi="Aptos"/>
                <w:b w:val="0"/>
                <w:color w:val="10202E"/>
                <w:sz w:val="15"/>
              </w:rPr>
              <w:t>11</w:t>
            </w:r>
          </w:p>
        </w:tc>
        <w:tc>
          <w:tcPr>
            <w:tcW w:type="dxa" w:w="7056"/>
            <w:vAlign w:val="center"/>
            <w:tcMar>
              <w:top w:w="80" w:type="dxa"/>
              <w:start w:w="100" w:type="dxa"/>
              <w:bottom w:w="80" w:type="dxa"/>
              <w:end w:w="100" w:type="dxa"/>
            </w:tcMar>
          </w:tcPr>
          <w:p>
            <w:pPr>
              <w:spacing w:after="0" w:line="240" w:lineRule="auto"/>
            </w:pPr>
            <w:r>
              <w:rPr>
                <w:rFonts w:ascii="Aptos" w:hAnsi="Aptos"/>
                <w:b w:val="0"/>
                <w:color w:val="10202E"/>
                <w:sz w:val="15"/>
              </w:rPr>
              <w:t>CREATE_INTERCOMPANY_LOAN</w:t>
            </w:r>
          </w:p>
        </w:tc>
        <w:tc>
          <w:tcPr>
            <w:tcW w:type="dxa" w:w="2736"/>
            <w:vAlign w:val="center"/>
            <w:tcMar>
              <w:top w:w="80" w:type="dxa"/>
              <w:start w:w="100" w:type="dxa"/>
              <w:bottom w:w="80" w:type="dxa"/>
              <w:end w:w="100" w:type="dxa"/>
            </w:tcMar>
          </w:tcPr>
          <w:p>
            <w:pPr>
              <w:spacing w:after="0" w:line="240" w:lineRule="auto"/>
            </w:pPr>
            <w:r>
              <w:rPr>
                <w:rFonts w:ascii="Aptos" w:hAnsi="Aptos"/>
                <w:b w:val="0"/>
                <w:color w:val="10202E"/>
                <w:sz w:val="15"/>
              </w:rPr>
              <w:t>GEPLANT</w:t>
            </w:r>
          </w:p>
        </w:tc>
      </w:tr>
    </w:tbl>
    <w:p>
      <w:pPr>
        <w:spacing w:after="40"/>
      </w:pPr>
    </w:p>
    <w:p>
      <w:pPr>
        <w:spacing w:after="100" w:line="269" w:lineRule="auto"/>
      </w:pPr>
      <w:r>
        <w:rPr>
          <w:rFonts w:ascii="Aptos" w:hAnsi="Aptos"/>
          <w:b w:val="0"/>
          <w:color w:val="526273"/>
          <w:sz w:val="19"/>
        </w:rPr>
        <w:t>Die generische Zielarchitektur erlaubt jedem neuen Action Type eigene fachliche Domain Gates, während Rights Closure, Freshness, Capability Issuance und Evidence-Semantik identisch bleiben.</w:t>
      </w:r>
    </w:p>
    <w:p>
      <w:pPr>
        <w:keepNext/>
        <w:spacing w:after="80"/>
      </w:pPr>
      <w:r>
        <w:rPr>
          <w:rFonts w:ascii="Aptos Mono" w:hAnsi="Aptos Mono"/>
          <w:b/>
          <w:color w:val="42D3C9"/>
          <w:sz w:val="14"/>
        </w:rPr>
        <w:t>INSTITUTIONAL USE</w:t>
      </w:r>
    </w:p>
    <w:p>
      <w:pPr>
        <w:keepNext/>
        <w:spacing w:before="280" w:after="120"/>
      </w:pPr>
      <w:r>
        <w:rPr>
          <w:rFonts w:ascii="Aptos" w:hAnsi="Aptos"/>
          <w:b/>
          <w:color w:val="07111D"/>
          <w:sz w:val="40"/>
        </w:rPr>
        <w:t>11. Wo diese Architektur relevant sein kann</w:t>
      </w:r>
    </w:p>
    <w:p>
      <w:pPr>
        <w:spacing w:after="100" w:line="269" w:lineRule="auto"/>
      </w:pPr>
      <w:r>
        <w:rPr>
          <w:rFonts w:ascii="Aptos" w:hAnsi="Aptos"/>
          <w:b w:val="0"/>
          <w:color w:val="526273"/>
          <w:sz w:val="19"/>
        </w:rPr>
        <w:t>Die öffentliche Positionierung sollte nicht behaupten, dass bestimmte Institutionen diese Engine benötigen oder dass sie regulatorisch vorgeschrieben ist. Relevanz besteht dort, wo Treasury-Aktionen autonomer, schneller oder agentischer werden und eine explizite Trennung zwischen Vorschlag, fachlicher Determination, Authority, Capability und realer Execution gewünscht ist.</w:t>
      </w:r>
    </w:p>
    <w:p>
      <w:pPr>
        <w:pStyle w:val="ListBullet"/>
        <w:spacing w:after="60" w:line="259" w:lineRule="auto"/>
        <w:ind w:left="259"/>
      </w:pPr>
      <w:r>
        <w:rPr>
          <w:rFonts w:ascii="Aptos" w:hAnsi="Aptos"/>
          <w:b w:val="0"/>
          <w:color w:val="526273"/>
          <w:sz w:val="18"/>
        </w:rPr>
        <w:t>Banken und Factoring-Gesellschaften: Forderungsankauf, Supplier Finance und kontrollierte Treasury-Workflows.</w:t>
      </w:r>
    </w:p>
    <w:p>
      <w:pPr>
        <w:pStyle w:val="ListBullet"/>
        <w:spacing w:after="60" w:line="259" w:lineRule="auto"/>
        <w:ind w:left="259"/>
      </w:pPr>
      <w:r>
        <w:rPr>
          <w:rFonts w:ascii="Aptos" w:hAnsi="Aptos"/>
          <w:b w:val="0"/>
          <w:color w:val="526273"/>
          <w:sz w:val="18"/>
        </w:rPr>
        <w:t>Corporate Treasury: Working Capital, Skonto, Kreditlinien, Cash Pool und Liquiditätssteuerung.</w:t>
      </w:r>
    </w:p>
    <w:p>
      <w:pPr>
        <w:pStyle w:val="ListBullet"/>
        <w:spacing w:after="60" w:line="259" w:lineRule="auto"/>
        <w:ind w:left="259"/>
      </w:pPr>
      <w:r>
        <w:rPr>
          <w:rFonts w:ascii="Aptos" w:hAnsi="Aptos"/>
          <w:b w:val="0"/>
          <w:color w:val="526273"/>
          <w:sz w:val="18"/>
        </w:rPr>
        <w:t>Asset Manager und institutionelle Investoren: kontrollierte finanzielle Action Types mit nachvollziehbaren Bound States.</w:t>
      </w:r>
    </w:p>
    <w:p>
      <w:pPr>
        <w:pStyle w:val="ListBullet"/>
        <w:spacing w:after="60" w:line="259" w:lineRule="auto"/>
        <w:ind w:left="259"/>
      </w:pPr>
      <w:r>
        <w:rPr>
          <w:rFonts w:ascii="Aptos" w:hAnsi="Aptos"/>
          <w:b w:val="0"/>
          <w:color w:val="526273"/>
          <w:sz w:val="18"/>
        </w:rPr>
        <w:t>Supply-Chain-Finance-Plattformen: deterministische Domain Determinations vor einer separat autorisierten Execution.</w:t>
      </w:r>
    </w:p>
    <w:p>
      <w:pPr>
        <w:pStyle w:val="ListBullet"/>
        <w:spacing w:after="60" w:line="259" w:lineRule="auto"/>
        <w:ind w:left="259"/>
      </w:pPr>
      <w:r>
        <w:rPr>
          <w:rFonts w:ascii="Aptos" w:hAnsi="Aptos"/>
          <w:b w:val="0"/>
          <w:color w:val="526273"/>
          <w:sz w:val="18"/>
        </w:rPr>
        <w:t>Öffentliche Institutionen: Treasury-/Cash-Management-Architekturen, sofern Mandat, Rechtsgrundlage und Authority extern geklärt sind.</w:t>
      </w:r>
    </w:p>
    <w:p>
      <w:pPr>
        <w:keepNext/>
        <w:spacing w:after="80"/>
      </w:pPr>
      <w:r>
        <w:rPr>
          <w:rFonts w:ascii="Aptos Mono" w:hAnsi="Aptos Mono"/>
          <w:b/>
          <w:color w:val="42D3C9"/>
          <w:sz w:val="14"/>
        </w:rPr>
        <w:t>DIFFERENTIATION</w:t>
      </w:r>
    </w:p>
    <w:p>
      <w:pPr>
        <w:keepNext/>
        <w:spacing w:before="280" w:after="120"/>
      </w:pPr>
      <w:r>
        <w:rPr>
          <w:rFonts w:ascii="Aptos" w:hAnsi="Aptos"/>
          <w:b/>
          <w:color w:val="07111D"/>
          <w:sz w:val="40"/>
        </w:rPr>
        <w:t>12. Architektonische Differenzierung ohne unbelegte Exklusivitätsclaims</w:t>
      </w:r>
    </w:p>
    <w:p>
      <w:pPr>
        <w:spacing w:after="100" w:line="269" w:lineRule="auto"/>
      </w:pPr>
      <w:r>
        <w:rPr>
          <w:rFonts w:ascii="Aptos" w:hAnsi="Aptos"/>
          <w:b w:val="0"/>
          <w:color w:val="526273"/>
          <w:sz w:val="19"/>
        </w:rPr>
        <w:t>Die Differenzierung wird nicht über „Niemand sonst kann das“ oder ungeprüfte Aussagen über Wettbewerber formuliert. Sie wird über die eigene Struktur beschrieben:</w:t>
      </w:r>
    </w:p>
    <w:tbl>
      <w:tblPr>
        <w:tblW w:type="auto" w:w="0"/>
        <w:jc w:val="center"/>
        <w:tblLayout w:type="fixed"/>
        <w:tblLook w:firstColumn="1" w:firstRow="1" w:lastColumn="0" w:lastRow="0" w:noHBand="0" w:noVBand="1" w:val="04A0"/>
      </w:tblPr>
      <w:tblGrid>
        <w:gridCol w:w="5083"/>
        <w:gridCol w:w="5083"/>
      </w:tblGrid>
      <w:tr>
        <w:tc>
          <w:tcPr>
            <w:tcW w:type="dxa" w:w="2880"/>
            <w:vAlign w:val="center"/>
            <w:tcMar>
              <w:top w:w="80" w:type="dxa"/>
              <w:start w:w="100" w:type="dxa"/>
              <w:bottom w:w="80" w:type="dxa"/>
              <w:end w:w="100" w:type="dxa"/>
            </w:tcMar>
            <w:shd w:fill="07111D"/>
          </w:tcPr>
          <w:p>
            <w:pPr>
              <w:spacing w:after="0" w:line="240" w:lineRule="auto"/>
            </w:pPr>
            <w:r>
              <w:rPr>
                <w:rFonts w:ascii="Aptos" w:hAnsi="Aptos"/>
                <w:b/>
                <w:color w:val="FFFFFF"/>
                <w:sz w:val="15"/>
              </w:rPr>
              <w:t>Ebene</w:t>
            </w:r>
          </w:p>
        </w:tc>
        <w:tc>
          <w:tcPr>
            <w:tcW w:type="dxa" w:w="7632"/>
            <w:vAlign w:val="center"/>
            <w:tcMar>
              <w:top w:w="80" w:type="dxa"/>
              <w:start w:w="100" w:type="dxa"/>
              <w:bottom w:w="80" w:type="dxa"/>
              <w:end w:w="100" w:type="dxa"/>
            </w:tcMar>
            <w:shd w:fill="07111D"/>
          </w:tcPr>
          <w:p>
            <w:pPr>
              <w:spacing w:after="0" w:line="240" w:lineRule="auto"/>
            </w:pPr>
            <w:r>
              <w:rPr>
                <w:rFonts w:ascii="Aptos" w:hAnsi="Aptos"/>
                <w:b/>
                <w:color w:val="FFFFFF"/>
                <w:sz w:val="15"/>
              </w:rPr>
              <w:t>Treasury Execution Rights Engine</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Domain Logic</w:t>
            </w:r>
          </w:p>
        </w:tc>
        <w:tc>
          <w:tcPr>
            <w:tcW w:type="dxa" w:w="7632"/>
            <w:vAlign w:val="center"/>
            <w:tcMar>
              <w:top w:w="80" w:type="dxa"/>
              <w:start w:w="100" w:type="dxa"/>
              <w:bottom w:w="80" w:type="dxa"/>
              <w:end w:w="100" w:type="dxa"/>
            </w:tcMar>
          </w:tcPr>
          <w:p>
            <w:pPr>
              <w:spacing w:after="0" w:line="240" w:lineRule="auto"/>
            </w:pPr>
            <w:r>
              <w:rPr>
                <w:rFonts w:ascii="Aptos" w:hAnsi="Aptos"/>
                <w:b w:val="0"/>
                <w:color w:val="10202E"/>
                <w:sz w:val="15"/>
              </w:rPr>
              <w:t>Action-spezifische deterministische Determinations</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Authority</w:t>
            </w:r>
          </w:p>
        </w:tc>
        <w:tc>
          <w:tcPr>
            <w:tcW w:type="dxa" w:w="7632"/>
            <w:vAlign w:val="center"/>
            <w:tcMar>
              <w:top w:w="80" w:type="dxa"/>
              <w:start w:w="100" w:type="dxa"/>
              <w:bottom w:w="80" w:type="dxa"/>
              <w:end w:w="100" w:type="dxa"/>
            </w:tcMar>
          </w:tcPr>
          <w:p>
            <w:pPr>
              <w:spacing w:after="0" w:line="240" w:lineRule="auto"/>
            </w:pPr>
            <w:r>
              <w:rPr>
                <w:rFonts w:ascii="Aptos" w:hAnsi="Aptos"/>
                <w:b w:val="0"/>
                <w:color w:val="10202E"/>
                <w:sz w:val="15"/>
              </w:rPr>
              <w:t>Bleibt extern; wird gebunden, nicht erzeugt</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Rights</w:t>
            </w:r>
          </w:p>
        </w:tc>
        <w:tc>
          <w:tcPr>
            <w:tcW w:type="dxa" w:w="7632"/>
            <w:vAlign w:val="center"/>
            <w:tcMar>
              <w:top w:w="80" w:type="dxa"/>
              <w:start w:w="100" w:type="dxa"/>
              <w:bottom w:w="80" w:type="dxa"/>
              <w:end w:w="100" w:type="dxa"/>
            </w:tcMar>
          </w:tcPr>
          <w:p>
            <w:pPr>
              <w:spacing w:after="0" w:line="240" w:lineRule="auto"/>
            </w:pPr>
            <w:r>
              <w:rPr>
                <w:rFonts w:ascii="Aptos" w:hAnsi="Aptos"/>
                <w:b w:val="0"/>
                <w:color w:val="10202E"/>
                <w:sz w:val="15"/>
              </w:rPr>
              <w:t>5-Dimension Closure in der generischen Spine</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Permission</w:t>
            </w:r>
          </w:p>
        </w:tc>
        <w:tc>
          <w:tcPr>
            <w:tcW w:type="dxa" w:w="7632"/>
            <w:vAlign w:val="center"/>
            <w:tcMar>
              <w:top w:w="80" w:type="dxa"/>
              <w:start w:w="100" w:type="dxa"/>
              <w:bottom w:w="80" w:type="dxa"/>
              <w:end w:w="100" w:type="dxa"/>
            </w:tcMar>
          </w:tcPr>
          <w:p>
            <w:pPr>
              <w:spacing w:after="0" w:line="240" w:lineRule="auto"/>
            </w:pPr>
            <w:r>
              <w:rPr>
                <w:rFonts w:ascii="Aptos" w:hAnsi="Aptos"/>
                <w:b w:val="0"/>
                <w:color w:val="10202E"/>
                <w:sz w:val="15"/>
              </w:rPr>
              <w:t>Gebundene Capability mit begrenztem Scope und Gültigkeitsfenster</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Execution</w:t>
            </w:r>
          </w:p>
        </w:tc>
        <w:tc>
          <w:tcPr>
            <w:tcW w:type="dxa" w:w="7632"/>
            <w:vAlign w:val="center"/>
            <w:tcMar>
              <w:top w:w="80" w:type="dxa"/>
              <w:start w:w="100" w:type="dxa"/>
              <w:bottom w:w="80" w:type="dxa"/>
              <w:end w:w="100" w:type="dxa"/>
            </w:tcMar>
          </w:tcPr>
          <w:p>
            <w:pPr>
              <w:spacing w:after="0" w:line="240" w:lineRule="auto"/>
            </w:pPr>
            <w:r>
              <w:rPr>
                <w:rFonts w:ascii="Aptos" w:hAnsi="Aptos"/>
                <w:b w:val="0"/>
                <w:color w:val="10202E"/>
                <w:sz w:val="15"/>
              </w:rPr>
              <w:t>Getrennter Authorized Executor hinter harter Execution Boundary</w:t>
            </w:r>
          </w:p>
        </w:tc>
      </w:tr>
      <w:tr>
        <w:tc>
          <w:tcPr>
            <w:tcW w:type="dxa" w:w="2880"/>
            <w:vAlign w:val="center"/>
            <w:tcMar>
              <w:top w:w="80" w:type="dxa"/>
              <w:start w:w="100" w:type="dxa"/>
              <w:bottom w:w="80" w:type="dxa"/>
              <w:end w:w="100" w:type="dxa"/>
            </w:tcMar>
          </w:tcPr>
          <w:p>
            <w:pPr>
              <w:spacing w:after="0" w:line="240" w:lineRule="auto"/>
            </w:pPr>
            <w:r>
              <w:rPr>
                <w:rFonts w:ascii="Aptos" w:hAnsi="Aptos"/>
                <w:b w:val="0"/>
                <w:color w:val="10202E"/>
                <w:sz w:val="15"/>
              </w:rPr>
              <w:t>Evidence</w:t>
            </w:r>
          </w:p>
        </w:tc>
        <w:tc>
          <w:tcPr>
            <w:tcW w:type="dxa" w:w="7632"/>
            <w:vAlign w:val="center"/>
            <w:tcMar>
              <w:top w:w="80" w:type="dxa"/>
              <w:start w:w="100" w:type="dxa"/>
              <w:bottom w:w="80" w:type="dxa"/>
              <w:end w:w="100" w:type="dxa"/>
            </w:tcMar>
          </w:tcPr>
          <w:p>
            <w:pPr>
              <w:spacing w:after="0" w:line="240" w:lineRule="auto"/>
            </w:pPr>
            <w:r>
              <w:rPr>
                <w:rFonts w:ascii="Aptos" w:hAnsi="Aptos"/>
                <w:b w:val="0"/>
                <w:color w:val="10202E"/>
                <w:sz w:val="15"/>
              </w:rPr>
              <w:t>Getrennte Issuance- und Execution-Artefakte; tamper-evident Bindings</w:t>
            </w:r>
          </w:p>
        </w:tc>
      </w:tr>
    </w:tbl>
    <w:p>
      <w:pPr>
        <w:spacing w:after="40"/>
      </w:pP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42D3C9"/>
                <w:sz w:val="18"/>
              </w:rPr>
              <w:t>POSITIONING</w:t>
            </w:r>
          </w:p>
          <w:p>
            <w:pPr>
              <w:spacing w:after="0" w:line="269" w:lineRule="auto"/>
            </w:pPr>
            <w:r>
              <w:rPr>
                <w:rFonts w:ascii="Aptos" w:hAnsi="Aptos"/>
                <w:b w:val="0"/>
                <w:color w:val="10202E"/>
                <w:sz w:val="18"/>
              </w:rPr>
              <w:t>One execution spine. Multiple financial actions. No action defines its own authority.</w:t>
            </w:r>
          </w:p>
        </w:tc>
      </w:tr>
    </w:tbl>
    <w:p>
      <w:pPr>
        <w:spacing w:after="40"/>
      </w:pPr>
    </w:p>
    <w:p>
      <w:pPr>
        <w:keepNext/>
        <w:spacing w:after="80"/>
      </w:pPr>
      <w:r>
        <w:rPr>
          <w:rFonts w:ascii="Aptos Mono" w:hAnsi="Aptos Mono"/>
          <w:b/>
          <w:color w:val="42D3C9"/>
          <w:sz w:val="14"/>
        </w:rPr>
        <w:t>WORKED EXAMPLE</w:t>
      </w:r>
    </w:p>
    <w:p>
      <w:pPr>
        <w:keepNext/>
        <w:spacing w:before="280" w:after="120"/>
      </w:pPr>
      <w:r>
        <w:rPr>
          <w:rFonts w:ascii="Aptos" w:hAnsi="Aptos"/>
          <w:b/>
          <w:color w:val="07111D"/>
          <w:sz w:val="40"/>
        </w:rPr>
        <w:t>13. Beispiel: FACTOR_RECEIVABLE</w:t>
      </w:r>
    </w:p>
    <w:p>
      <w:pPr>
        <w:spacing w:after="100" w:line="269" w:lineRule="auto"/>
      </w:pPr>
      <w:r>
        <w:rPr>
          <w:rFonts w:ascii="Aptos" w:hAnsi="Aptos"/>
          <w:b w:val="0"/>
          <w:color w:val="526273"/>
          <w:sz w:val="19"/>
        </w:rPr>
        <w:t>Ein Treasury-System schlägt vor, eine konkrete Forderung zu faktorisieren. Der Vorschlag wird normalisiert und gegen gebundene States geprüft. Angenommen, Economic Arbitrage, Liquidity, Risk, Concentration, Assignment, Accounting, Compliance, Temporal, Jurisdiction und Execution Policy liefern für den gebundenen State positive Determinations.</w:t>
      </w:r>
    </w:p>
    <w:p>
      <w:pPr>
        <w:spacing w:after="100" w:line="269" w:lineRule="auto"/>
      </w:pPr>
      <w:r>
        <w:rPr>
          <w:rFonts w:ascii="Aptos" w:hAnsi="Aptos"/>
          <w:b w:val="0"/>
          <w:color w:val="526273"/>
          <w:sz w:val="19"/>
        </w:rPr>
        <w:t>Danach schließt die Spine Authority, Rule, Jurisdiction, Time und Dependencies. Die Freshness Validation bestätigt, dass die benötigten externen States noch innerhalb ihrer effektiven Bounds liegen. Der Capability Issuer darf daraufhin eine action-spezifische FACTOR_RECEIVABLE-Capability ausstellen. Diese Capability erlaubt noch keine Behauptung, dass Factoring tatsächlich erfolgt ist.</w:t>
      </w:r>
    </w:p>
    <w:p>
      <w:pPr>
        <w:spacing w:after="100" w:line="269" w:lineRule="auto"/>
      </w:pPr>
      <w:r>
        <w:rPr>
          <w:rFonts w:ascii="Aptos" w:hAnsi="Aptos"/>
          <w:b w:val="0"/>
          <w:color w:val="526273"/>
          <w:sz w:val="19"/>
        </w:rPr>
        <w:t>Erst ein autorisierter Executor verifiziert die Capability, führt die Transaktion aus und erzeugt ein separates Execution Receipt mit dem tatsächlichen Ergebnis. Diese Reihenfolge bewahrt die Trennung zwischen fachlicher Determination, Erlaubnis und realer Handlung.</w:t>
      </w:r>
    </w:p>
    <w:p>
      <w:pPr>
        <w:keepNext/>
        <w:spacing w:after="80"/>
      </w:pPr>
      <w:r>
        <w:rPr>
          <w:rFonts w:ascii="Aptos Mono" w:hAnsi="Aptos Mono"/>
          <w:b/>
          <w:color w:val="42D3C9"/>
          <w:sz w:val="14"/>
        </w:rPr>
        <w:t>PUBLIC CLAIM BOUNDARIES</w:t>
      </w:r>
    </w:p>
    <w:p>
      <w:pPr>
        <w:keepNext/>
        <w:spacing w:before="280" w:after="120"/>
      </w:pPr>
      <w:r>
        <w:rPr>
          <w:rFonts w:ascii="Aptos" w:hAnsi="Aptos"/>
          <w:b/>
          <w:color w:val="07111D"/>
          <w:sz w:val="40"/>
        </w:rPr>
        <w:t>14. Öffentliche Aussagegrenzen</w:t>
      </w:r>
    </w:p>
    <w:tbl>
      <w:tblPr>
        <w:tblW w:type="auto" w:w="0"/>
        <w:jc w:val="center"/>
        <w:tblLayout w:type="fixed"/>
        <w:tblLook w:firstColumn="1" w:firstRow="1" w:lastColumn="0" w:lastRow="0" w:noHBand="0" w:noVBand="1" w:val="04A0"/>
      </w:tblPr>
      <w:tblGrid>
        <w:gridCol w:w="5083"/>
        <w:gridCol w:w="5083"/>
      </w:tblGrid>
      <w:tr>
        <w:tc>
          <w:tcPr>
            <w:tcW w:type="dxa" w:w="3024"/>
            <w:vAlign w:val="center"/>
            <w:tcMar>
              <w:top w:w="80" w:type="dxa"/>
              <w:start w:w="100" w:type="dxa"/>
              <w:bottom w:w="80" w:type="dxa"/>
              <w:end w:w="100" w:type="dxa"/>
            </w:tcMar>
            <w:shd w:fill="07111D"/>
          </w:tcPr>
          <w:p>
            <w:pPr>
              <w:spacing w:after="0" w:line="240" w:lineRule="auto"/>
            </w:pPr>
            <w:r>
              <w:rPr>
                <w:rFonts w:ascii="Aptos" w:hAnsi="Aptos"/>
                <w:b/>
                <w:color w:val="FFFFFF"/>
                <w:sz w:val="15"/>
              </w:rPr>
              <w:t>Aussage</w:t>
            </w:r>
          </w:p>
        </w:tc>
        <w:tc>
          <w:tcPr>
            <w:tcW w:type="dxa" w:w="7488"/>
            <w:vAlign w:val="center"/>
            <w:tcMar>
              <w:top w:w="80" w:type="dxa"/>
              <w:start w:w="100" w:type="dxa"/>
              <w:bottom w:w="80" w:type="dxa"/>
              <w:end w:w="100" w:type="dxa"/>
            </w:tcMar>
            <w:shd w:fill="07111D"/>
          </w:tcPr>
          <w:p>
            <w:pPr>
              <w:spacing w:after="0" w:line="240" w:lineRule="auto"/>
            </w:pPr>
            <w:r>
              <w:rPr>
                <w:rFonts w:ascii="Aptos" w:hAnsi="Aptos"/>
                <w:b/>
                <w:color w:val="FFFFFF"/>
                <w:sz w:val="15"/>
              </w:rPr>
              <w:t>Grenze</w:t>
            </w:r>
          </w:p>
        </w:tc>
      </w:tr>
      <w:tr>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5"/>
              </w:rPr>
              <w:t>Deterministische Verarbeitung</w:t>
            </w:r>
          </w:p>
        </w:tc>
        <w:tc>
          <w:tcPr>
            <w:tcW w:type="dxa" w:w="7488"/>
            <w:vAlign w:val="center"/>
            <w:tcMar>
              <w:top w:w="80" w:type="dxa"/>
              <w:start w:w="100" w:type="dxa"/>
              <w:bottom w:w="80" w:type="dxa"/>
              <w:end w:w="100" w:type="dxa"/>
            </w:tcMar>
          </w:tcPr>
          <w:p>
            <w:pPr>
              <w:spacing w:after="0" w:line="240" w:lineRule="auto"/>
            </w:pPr>
            <w:r>
              <w:rPr>
                <w:rFonts w:ascii="Aptos" w:hAnsi="Aptos"/>
                <w:b w:val="0"/>
                <w:color w:val="10202E"/>
                <w:sz w:val="15"/>
              </w:rPr>
              <w:t>Beweist nicht automatisch die Wahrheit oder Qualität externer Inputs.</w:t>
            </w:r>
          </w:p>
        </w:tc>
      </w:tr>
      <w:tr>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5"/>
              </w:rPr>
              <w:t>Capability</w:t>
            </w:r>
          </w:p>
        </w:tc>
        <w:tc>
          <w:tcPr>
            <w:tcW w:type="dxa" w:w="7488"/>
            <w:vAlign w:val="center"/>
            <w:tcMar>
              <w:top w:w="80" w:type="dxa"/>
              <w:start w:w="100" w:type="dxa"/>
              <w:bottom w:w="80" w:type="dxa"/>
              <w:end w:w="100" w:type="dxa"/>
            </w:tcMar>
          </w:tcPr>
          <w:p>
            <w:pPr>
              <w:spacing w:after="0" w:line="240" w:lineRule="auto"/>
            </w:pPr>
            <w:r>
              <w:rPr>
                <w:rFonts w:ascii="Aptos" w:hAnsi="Aptos"/>
                <w:b w:val="0"/>
                <w:color w:val="10202E"/>
                <w:sz w:val="15"/>
              </w:rPr>
              <w:t>Ist eine gebundene technische Ausführungsfähigkeit innerhalb des modellierten Scopes; keine selbst erzeugte staatliche/regulatorische Authority.</w:t>
            </w:r>
          </w:p>
        </w:tc>
      </w:tr>
      <w:tr>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5"/>
              </w:rPr>
              <w:t>Tamper-evident Receipt</w:t>
            </w:r>
          </w:p>
        </w:tc>
        <w:tc>
          <w:tcPr>
            <w:tcW w:type="dxa" w:w="7488"/>
            <w:vAlign w:val="center"/>
            <w:tcMar>
              <w:top w:w="80" w:type="dxa"/>
              <w:start w:w="100" w:type="dxa"/>
              <w:bottom w:w="80" w:type="dxa"/>
              <w:end w:w="100" w:type="dxa"/>
            </w:tcMar>
          </w:tcPr>
          <w:p>
            <w:pPr>
              <w:spacing w:after="0" w:line="240" w:lineRule="auto"/>
            </w:pPr>
            <w:r>
              <w:rPr>
                <w:rFonts w:ascii="Aptos" w:hAnsi="Aptos"/>
                <w:b w:val="0"/>
                <w:color w:val="10202E"/>
                <w:sz w:val="15"/>
              </w:rPr>
              <w:t>Macht Payload-Veränderungen erkennbar; ist nicht allein durch SHA-256 immutable.</w:t>
            </w:r>
          </w:p>
        </w:tc>
      </w:tr>
      <w:tr>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5"/>
              </w:rPr>
              <w:t>Fail-closed</w:t>
            </w:r>
          </w:p>
        </w:tc>
        <w:tc>
          <w:tcPr>
            <w:tcW w:type="dxa" w:w="7488"/>
            <w:vAlign w:val="center"/>
            <w:tcMar>
              <w:top w:w="80" w:type="dxa"/>
              <w:start w:w="100" w:type="dxa"/>
              <w:bottom w:w="80" w:type="dxa"/>
              <w:end w:w="100" w:type="dxa"/>
            </w:tcMar>
          </w:tcPr>
          <w:p>
            <w:pPr>
              <w:spacing w:after="0" w:line="240" w:lineRule="auto"/>
            </w:pPr>
            <w:r>
              <w:rPr>
                <w:rFonts w:ascii="Aptos" w:hAnsi="Aptos"/>
                <w:b w:val="0"/>
                <w:color w:val="10202E"/>
                <w:sz w:val="15"/>
              </w:rPr>
              <w:t>Ist eine technische/institutionelle Execution Policy, keine gerichtliche Rechtsqualifikation.</w:t>
            </w:r>
          </w:p>
        </w:tc>
      </w:tr>
      <w:tr>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5"/>
              </w:rPr>
              <w:t>Evidence</w:t>
            </w:r>
          </w:p>
        </w:tc>
        <w:tc>
          <w:tcPr>
            <w:tcW w:type="dxa" w:w="7488"/>
            <w:vAlign w:val="center"/>
            <w:tcMar>
              <w:top w:w="80" w:type="dxa"/>
              <w:start w:w="100" w:type="dxa"/>
              <w:bottom w:w="80" w:type="dxa"/>
              <w:end w:w="100" w:type="dxa"/>
            </w:tcMar>
          </w:tcPr>
          <w:p>
            <w:pPr>
              <w:spacing w:after="0" w:line="240" w:lineRule="auto"/>
            </w:pPr>
            <w:r>
              <w:rPr>
                <w:rFonts w:ascii="Aptos" w:hAnsi="Aptos"/>
                <w:b w:val="0"/>
                <w:color w:val="10202E"/>
                <w:sz w:val="15"/>
              </w:rPr>
              <w:t>Verbessert technische Nachvollziehbarkeit und Attribution; erzeugt keinen automatischen Haftungsausschluss.</w:t>
            </w:r>
          </w:p>
        </w:tc>
      </w:tr>
      <w:tr>
        <w:tc>
          <w:tcPr>
            <w:tcW w:type="dxa" w:w="3024"/>
            <w:vAlign w:val="center"/>
            <w:tcMar>
              <w:top w:w="80" w:type="dxa"/>
              <w:start w:w="100" w:type="dxa"/>
              <w:bottom w:w="80" w:type="dxa"/>
              <w:end w:w="100" w:type="dxa"/>
            </w:tcMar>
          </w:tcPr>
          <w:p>
            <w:pPr>
              <w:spacing w:after="0" w:line="240" w:lineRule="auto"/>
            </w:pPr>
            <w:r>
              <w:rPr>
                <w:rFonts w:ascii="Aptos" w:hAnsi="Aptos"/>
                <w:b w:val="0"/>
                <w:color w:val="10202E"/>
                <w:sz w:val="15"/>
              </w:rPr>
              <w:t>Roadmap</w:t>
            </w:r>
          </w:p>
        </w:tc>
        <w:tc>
          <w:tcPr>
            <w:tcW w:type="dxa" w:w="7488"/>
            <w:vAlign w:val="center"/>
            <w:tcMar>
              <w:top w:w="80" w:type="dxa"/>
              <w:start w:w="100" w:type="dxa"/>
              <w:bottom w:w="80" w:type="dxa"/>
              <w:end w:w="100" w:type="dxa"/>
            </w:tcMar>
          </w:tcPr>
          <w:p>
            <w:pPr>
              <w:spacing w:after="0" w:line="240" w:lineRule="auto"/>
            </w:pPr>
            <w:r>
              <w:rPr>
                <w:rFonts w:ascii="Aptos" w:hAnsi="Aptos"/>
                <w:b w:val="0"/>
                <w:color w:val="10202E"/>
                <w:sz w:val="15"/>
              </w:rPr>
              <w:t>Nur FACTOR_RECEIVABLE wird hier als implementiert dargestellt; Action Types 02–11 sind Architekturziele.</w:t>
            </w:r>
          </w:p>
        </w:tc>
      </w:tr>
    </w:tbl>
    <w:p>
      <w:pPr>
        <w:spacing w:after="40"/>
      </w:pPr>
    </w:p>
    <w:p>
      <w:pPr>
        <w:keepNext/>
        <w:spacing w:after="80"/>
      </w:pPr>
      <w:r>
        <w:rPr>
          <w:rFonts w:ascii="Aptos Mono" w:hAnsi="Aptos Mono"/>
          <w:b/>
          <w:color w:val="42D3C9"/>
          <w:sz w:val="14"/>
        </w:rPr>
        <w:t>CONCLUSION</w:t>
      </w:r>
    </w:p>
    <w:p>
      <w:pPr>
        <w:keepNext/>
        <w:spacing w:before="280" w:after="120"/>
      </w:pPr>
      <w:r>
        <w:rPr>
          <w:rFonts w:ascii="Aptos" w:hAnsi="Aptos"/>
          <w:b/>
          <w:color w:val="07111D"/>
          <w:sz w:val="40"/>
        </w:rPr>
        <w:t>15. Zusammenfassung</w:t>
      </w:r>
    </w:p>
    <w:p>
      <w:pPr>
        <w:spacing w:after="100" w:line="269" w:lineRule="auto"/>
      </w:pPr>
      <w:r>
        <w:rPr>
          <w:rFonts w:ascii="Aptos" w:hAnsi="Aptos"/>
          <w:b/>
          <w:color w:val="10202E"/>
          <w:sz w:val="20"/>
        </w:rPr>
        <w:t>Die Treasury Execution Rights Engine verschiebt die zentrale Frage von „Was empfiehlt das System?“ zu „Unter welchem gebundenen Zustand darf für diese konkrete Treasury-Handlung überhaupt eine Capability entstehen?“</w:t>
      </w:r>
    </w:p>
    <w:p>
      <w:pPr>
        <w:spacing w:after="100" w:line="269" w:lineRule="auto"/>
      </w:pPr>
      <w:r>
        <w:rPr>
          <w:rFonts w:ascii="Aptos" w:hAnsi="Aptos"/>
          <w:b w:val="0"/>
          <w:color w:val="526273"/>
          <w:sz w:val="19"/>
        </w:rPr>
        <w:t>FACTOR_RECEIVABLE zeigt die erste implementierte Domain auf einer generischen Spine. Der architektonische Wert liegt nicht in einer einzelnen Factoring-Formel, sondern in der wiederverwendbaren Trennung von Proposal, Domain Determinations, externer Authority, Rights Closure, Freshness, Capability, tatsächlicher Execution und Evidence.</w:t>
      </w:r>
    </w:p>
    <w:tbl>
      <w:tblPr>
        <w:tblW w:type="auto" w:w="0"/>
        <w:jc w:val="center"/>
        <w:tblLook w:firstColumn="1" w:firstRow="1" w:lastColumn="0" w:lastRow="0" w:noHBand="0" w:noVBand="1" w:val="04A0"/>
      </w:tblPr>
      <w:tblGrid>
        <w:gridCol w:w="10166"/>
      </w:tblGrid>
      <w:tr>
        <w:tc>
          <w:tcPr>
            <w:tcW w:type="dxa" w:w="10166"/>
            <w:shd w:fill="F7FAFC"/>
            <w:tcMar>
              <w:top w:w="140" w:type="dxa"/>
              <w:start w:w="170" w:type="dxa"/>
              <w:bottom w:w="140" w:type="dxa"/>
              <w:end w:w="170" w:type="dxa"/>
            </w:tcMar>
          </w:tcPr>
          <w:p>
            <w:pPr>
              <w:spacing w:after="80"/>
            </w:pPr>
            <w:r>
              <w:rPr>
                <w:rFonts w:ascii="Aptos" w:hAnsi="Aptos"/>
                <w:b/>
                <w:color w:val="C9962C"/>
                <w:sz w:val="18"/>
              </w:rPr>
              <w:t>CANONICAL LINE</w:t>
            </w:r>
          </w:p>
          <w:p>
            <w:pPr>
              <w:spacing w:after="0" w:line="269" w:lineRule="auto"/>
            </w:pPr>
            <w:r>
              <w:rPr>
                <w:rFonts w:ascii="Aptos" w:hAnsi="Aptos"/>
                <w:b w:val="0"/>
                <w:color w:val="10202E"/>
                <w:sz w:val="18"/>
              </w:rPr>
              <w:t>AI proposes. Domain gates determine. Authority closes. Capability permits. Execution acts. Evidence remembers.</w:t>
            </w:r>
          </w:p>
        </w:tc>
      </w:tr>
    </w:tbl>
    <w:p>
      <w:pPr>
        <w:spacing w:after="40"/>
      </w:pPr>
    </w:p>
    <w:p>
      <w:pPr>
        <w:spacing w:after="100" w:line="269" w:lineRule="auto"/>
      </w:pPr>
      <w:r>
        <w:rPr>
          <w:rFonts w:ascii="Aptos" w:hAnsi="Aptos"/>
          <w:b w:val="0"/>
          <w:color w:val="526273"/>
          <w:sz w:val="16"/>
        </w:rPr>
        <w:t>Public architecture edition. This document describes system architecture and claim boundaries; it is not legal, accounting, investment or regulatory advice.</w:t>
      </w:r>
    </w:p>
    <w:sectPr w:rsidR="00FC693F" w:rsidRPr="0006063C" w:rsidSect="00034616">
      <w:headerReference w:type="default" r:id="rId9"/>
      <w:footerReference w:type="default" r:id="rId10"/>
      <w:pgSz w:w="12240" w:h="15840"/>
      <w:pgMar w:top="936"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Mono" w:hAnsi="Aptos Mono"/>
        <w:b w:val="0"/>
        <w:color w:val="526273"/>
        <w:sz w:val="14"/>
      </w:rPr>
      <w:t>© immo.quick Global 2026 · Public architecture · Claim-hygienic edition</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Mono" w:hAnsi="Aptos Mono"/>
        <w:b w:val="0"/>
        <w:color w:val="526273"/>
        <w:sz w:val="14"/>
      </w:rPr>
      <w:t>immo.quick · Treasury Execution Rights Engine · Public Architecture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color w:val="526273"/>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Treasury Execution Rights Engine — Public Architecture</dc:title>
  <dc:subject>Claim-hygienic public architecture for the immo.quick Treasury Execution Rights Engine</dc:subject>
  <dc:creator>immo.quick Global</dc:creator>
  <cp:keywords>Treasury Execution Rights, Machine Law, Execution Rights, Factoring, Capability, Evidence</cp:keywords>
  <dc:description>generated by python-docx</dc:description>
  <cp:lastModifiedBy/>
  <cp:revision>1</cp:revision>
  <dcterms:created xsi:type="dcterms:W3CDTF">2013-12-23T23:15:00Z</dcterms:created>
  <dcterms:modified xsi:type="dcterms:W3CDTF">2013-12-23T23:15:00Z</dcterms:modified>
  <cp:category/>
</cp:coreProperties>
</file>